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71" w:rsidRDefault="00310E71" w:rsidP="00310E71">
      <w:pPr>
        <w:jc w:val="right"/>
      </w:pPr>
      <w:r w:rsidRPr="00310E71">
        <w:rPr>
          <w:b/>
          <w:color w:val="FF0000"/>
          <w:sz w:val="48"/>
          <w:szCs w:val="48"/>
        </w:rPr>
        <w:t>Initial Values</w:t>
      </w:r>
      <w:r>
        <w:tab/>
      </w:r>
      <w:r>
        <w:tab/>
      </w:r>
      <w:r>
        <w:tab/>
        <w:t xml:space="preserve"> Rev 8-Dec-2012</w:t>
      </w:r>
    </w:p>
    <w:p w:rsidR="00157070" w:rsidRDefault="00310E71" w:rsidP="00310E71">
      <w:pPr>
        <w:jc w:val="center"/>
        <w:rPr>
          <w:b/>
          <w:sz w:val="40"/>
          <w:szCs w:val="40"/>
        </w:rPr>
      </w:pPr>
      <w:r w:rsidRPr="00310E71">
        <w:rPr>
          <w:b/>
          <w:sz w:val="40"/>
          <w:szCs w:val="40"/>
        </w:rPr>
        <w:t>12 GeV Re-Baseline Contingency Estimate Guideline</w:t>
      </w:r>
    </w:p>
    <w:p w:rsidR="00310E71" w:rsidRDefault="00310E71" w:rsidP="00310E71">
      <w:pPr>
        <w:rPr>
          <w:szCs w:val="24"/>
        </w:rPr>
      </w:pPr>
    </w:p>
    <w:p w:rsidR="00310E71" w:rsidRDefault="00310E71" w:rsidP="00310E71">
      <w:pPr>
        <w:rPr>
          <w:szCs w:val="24"/>
        </w:rPr>
      </w:pPr>
      <w:r>
        <w:rPr>
          <w:szCs w:val="24"/>
        </w:rPr>
        <w:t xml:space="preserve">12 GeV Contingency is to be assessed on the ETC independently </w:t>
      </w:r>
      <w:r w:rsidR="001B7460">
        <w:rPr>
          <w:szCs w:val="24"/>
        </w:rPr>
        <w:t>for Labor, Expenses, and P</w:t>
      </w:r>
      <w:r>
        <w:rPr>
          <w:szCs w:val="24"/>
        </w:rPr>
        <w:t>rocurements at the P6 activity level</w:t>
      </w:r>
      <w:r w:rsidR="000D194A">
        <w:rPr>
          <w:szCs w:val="24"/>
        </w:rPr>
        <w:t xml:space="preserve"> by the responsible Cost Account Manager using the “expert judgment” described below.  Note that Contingency (and Management Reserve) is managed centrally by the Project Office, allocated thru Change Requests and is not pre-allocated or pre-assigned to any item or WBS.  All Values are consistent with guidelines in DOE G 430.1-1 Chapter 11 Contingency for Construction Projects, Special Facilities and Equipment </w:t>
      </w:r>
      <w:r w:rsidR="00B65146">
        <w:rPr>
          <w:szCs w:val="24"/>
        </w:rPr>
        <w:t>Procurement, for this stage in the project.</w:t>
      </w:r>
    </w:p>
    <w:p w:rsidR="00310E71" w:rsidRDefault="00310E71" w:rsidP="00310E71">
      <w:pPr>
        <w:rPr>
          <w:szCs w:val="24"/>
        </w:rPr>
      </w:pPr>
    </w:p>
    <w:p w:rsidR="00310E71" w:rsidRDefault="00B65146" w:rsidP="00310E71">
      <w:pPr>
        <w:rPr>
          <w:szCs w:val="24"/>
        </w:rPr>
      </w:pPr>
      <w:r>
        <w:rPr>
          <w:szCs w:val="24"/>
        </w:rPr>
        <w:t>Contingency = Minimum Contingency + Risk Factor Contingency</w:t>
      </w:r>
    </w:p>
    <w:p w:rsidR="00310E71" w:rsidRDefault="00310E71" w:rsidP="00310E71">
      <w:pPr>
        <w:rPr>
          <w:szCs w:val="24"/>
        </w:rPr>
      </w:pPr>
    </w:p>
    <w:tbl>
      <w:tblPr>
        <w:tblStyle w:val="TableGrid"/>
        <w:tblW w:w="0" w:type="auto"/>
        <w:tblLook w:val="04A0"/>
      </w:tblPr>
      <w:tblGrid>
        <w:gridCol w:w="705"/>
        <w:gridCol w:w="5318"/>
        <w:gridCol w:w="925"/>
        <w:gridCol w:w="810"/>
        <w:gridCol w:w="840"/>
      </w:tblGrid>
      <w:tr w:rsidR="00B65146" w:rsidTr="00264700">
        <w:tc>
          <w:tcPr>
            <w:tcW w:w="6023" w:type="dxa"/>
            <w:gridSpan w:val="2"/>
            <w:tcBorders>
              <w:top w:val="single" w:sz="12" w:space="0" w:color="000000" w:themeColor="text1"/>
              <w:left w:val="single" w:sz="12" w:space="0" w:color="000000" w:themeColor="text1"/>
              <w:bottom w:val="nil"/>
              <w:right w:val="nil"/>
            </w:tcBorders>
          </w:tcPr>
          <w:p w:rsidR="00B65146" w:rsidRPr="00B65146" w:rsidRDefault="00B65146" w:rsidP="00264700">
            <w:pPr>
              <w:jc w:val="center"/>
              <w:rPr>
                <w:b/>
                <w:szCs w:val="24"/>
              </w:rPr>
            </w:pPr>
            <w:r>
              <w:rPr>
                <w:b/>
                <w:szCs w:val="24"/>
              </w:rPr>
              <w:t>Minimum Contingency</w:t>
            </w:r>
          </w:p>
        </w:tc>
        <w:tc>
          <w:tcPr>
            <w:tcW w:w="2575" w:type="dxa"/>
            <w:gridSpan w:val="3"/>
            <w:tcBorders>
              <w:top w:val="single" w:sz="12" w:space="0" w:color="000000" w:themeColor="text1"/>
              <w:left w:val="nil"/>
              <w:bottom w:val="nil"/>
              <w:right w:val="single" w:sz="12" w:space="0" w:color="000000" w:themeColor="text1"/>
            </w:tcBorders>
          </w:tcPr>
          <w:p w:rsidR="00B65146" w:rsidRPr="00B65146" w:rsidRDefault="00B65146" w:rsidP="00B65146">
            <w:pPr>
              <w:jc w:val="center"/>
              <w:rPr>
                <w:b/>
                <w:szCs w:val="24"/>
              </w:rPr>
            </w:pPr>
            <w:r w:rsidRPr="00B65146">
              <w:rPr>
                <w:b/>
                <w:szCs w:val="24"/>
              </w:rPr>
              <w:t>Factor</w:t>
            </w:r>
            <w:r>
              <w:rPr>
                <w:b/>
                <w:szCs w:val="24"/>
              </w:rPr>
              <w:t>s</w:t>
            </w:r>
          </w:p>
        </w:tc>
      </w:tr>
      <w:tr w:rsidR="00B65146" w:rsidTr="00264700">
        <w:tc>
          <w:tcPr>
            <w:tcW w:w="705" w:type="dxa"/>
            <w:tcBorders>
              <w:top w:val="nil"/>
              <w:left w:val="single" w:sz="12" w:space="0" w:color="000000" w:themeColor="text1"/>
              <w:bottom w:val="single" w:sz="12" w:space="0" w:color="000000" w:themeColor="text1"/>
              <w:right w:val="nil"/>
            </w:tcBorders>
          </w:tcPr>
          <w:p w:rsidR="00B65146" w:rsidRPr="00B65146" w:rsidRDefault="00B65146" w:rsidP="00310E71">
            <w:pPr>
              <w:rPr>
                <w:b/>
                <w:szCs w:val="24"/>
              </w:rPr>
            </w:pPr>
            <w:r>
              <w:rPr>
                <w:b/>
                <w:szCs w:val="24"/>
              </w:rPr>
              <w:t>Code</w:t>
            </w:r>
          </w:p>
        </w:tc>
        <w:tc>
          <w:tcPr>
            <w:tcW w:w="5318" w:type="dxa"/>
            <w:tcBorders>
              <w:top w:val="nil"/>
              <w:left w:val="nil"/>
              <w:bottom w:val="single" w:sz="12" w:space="0" w:color="000000" w:themeColor="text1"/>
              <w:right w:val="nil"/>
            </w:tcBorders>
          </w:tcPr>
          <w:p w:rsidR="00B65146" w:rsidRPr="00B65146" w:rsidRDefault="00B65146" w:rsidP="00310E71">
            <w:pPr>
              <w:rPr>
                <w:b/>
                <w:szCs w:val="24"/>
              </w:rPr>
            </w:pPr>
            <w:r>
              <w:rPr>
                <w:b/>
                <w:szCs w:val="24"/>
              </w:rPr>
              <w:t>Description</w:t>
            </w:r>
          </w:p>
        </w:tc>
        <w:tc>
          <w:tcPr>
            <w:tcW w:w="925" w:type="dxa"/>
            <w:tcBorders>
              <w:top w:val="nil"/>
              <w:left w:val="nil"/>
              <w:bottom w:val="single" w:sz="12" w:space="0" w:color="000000" w:themeColor="text1"/>
              <w:right w:val="nil"/>
            </w:tcBorders>
          </w:tcPr>
          <w:p w:rsidR="00B65146" w:rsidRPr="00B65146" w:rsidRDefault="00B65146" w:rsidP="00310E71">
            <w:pPr>
              <w:rPr>
                <w:b/>
                <w:szCs w:val="24"/>
              </w:rPr>
            </w:pPr>
            <w:r>
              <w:rPr>
                <w:b/>
                <w:szCs w:val="24"/>
              </w:rPr>
              <w:t>Labor</w:t>
            </w:r>
          </w:p>
        </w:tc>
        <w:tc>
          <w:tcPr>
            <w:tcW w:w="810" w:type="dxa"/>
            <w:tcBorders>
              <w:top w:val="nil"/>
              <w:left w:val="nil"/>
              <w:bottom w:val="single" w:sz="12" w:space="0" w:color="000000" w:themeColor="text1"/>
              <w:right w:val="nil"/>
            </w:tcBorders>
          </w:tcPr>
          <w:p w:rsidR="00B65146" w:rsidRPr="00B65146" w:rsidRDefault="00B65146" w:rsidP="00310E71">
            <w:pPr>
              <w:rPr>
                <w:b/>
                <w:szCs w:val="24"/>
              </w:rPr>
            </w:pPr>
            <w:r>
              <w:rPr>
                <w:b/>
                <w:szCs w:val="24"/>
              </w:rPr>
              <w:t>Exp.</w:t>
            </w:r>
          </w:p>
        </w:tc>
        <w:tc>
          <w:tcPr>
            <w:tcW w:w="840" w:type="dxa"/>
            <w:tcBorders>
              <w:top w:val="nil"/>
              <w:left w:val="nil"/>
              <w:bottom w:val="single" w:sz="12" w:space="0" w:color="000000" w:themeColor="text1"/>
              <w:right w:val="single" w:sz="12" w:space="0" w:color="000000" w:themeColor="text1"/>
            </w:tcBorders>
          </w:tcPr>
          <w:p w:rsidR="00B65146" w:rsidRPr="00B65146" w:rsidRDefault="00B65146" w:rsidP="00310E71">
            <w:pPr>
              <w:rPr>
                <w:b/>
                <w:szCs w:val="24"/>
              </w:rPr>
            </w:pPr>
            <w:r>
              <w:rPr>
                <w:b/>
                <w:szCs w:val="24"/>
              </w:rPr>
              <w:t>Proc.</w:t>
            </w:r>
          </w:p>
        </w:tc>
      </w:tr>
      <w:tr w:rsidR="00F82B22" w:rsidTr="00264700">
        <w:tc>
          <w:tcPr>
            <w:tcW w:w="705" w:type="dxa"/>
            <w:tcBorders>
              <w:top w:val="single" w:sz="12" w:space="0" w:color="000000" w:themeColor="text1"/>
            </w:tcBorders>
          </w:tcPr>
          <w:p w:rsidR="00F82B22" w:rsidRDefault="00F82B22" w:rsidP="00310E71">
            <w:pPr>
              <w:rPr>
                <w:szCs w:val="24"/>
              </w:rPr>
            </w:pPr>
            <w:r>
              <w:rPr>
                <w:szCs w:val="24"/>
              </w:rPr>
              <w:t>---</w:t>
            </w:r>
          </w:p>
        </w:tc>
        <w:tc>
          <w:tcPr>
            <w:tcW w:w="5318" w:type="dxa"/>
            <w:tcBorders>
              <w:top w:val="single" w:sz="12" w:space="0" w:color="000000" w:themeColor="text1"/>
            </w:tcBorders>
          </w:tcPr>
          <w:p w:rsidR="00F82B22" w:rsidRDefault="00F82B22" w:rsidP="00310E71">
            <w:pPr>
              <w:rPr>
                <w:szCs w:val="24"/>
              </w:rPr>
            </w:pPr>
            <w:r>
              <w:rPr>
                <w:szCs w:val="24"/>
              </w:rPr>
              <w:t>Costed – Item is 100% complete in P6</w:t>
            </w:r>
          </w:p>
        </w:tc>
        <w:tc>
          <w:tcPr>
            <w:tcW w:w="925" w:type="dxa"/>
            <w:tcBorders>
              <w:top w:val="single" w:sz="12" w:space="0" w:color="000000" w:themeColor="text1"/>
            </w:tcBorders>
          </w:tcPr>
          <w:p w:rsidR="00F82B22" w:rsidRDefault="00F82B22" w:rsidP="00264700">
            <w:pPr>
              <w:rPr>
                <w:szCs w:val="24"/>
              </w:rPr>
            </w:pPr>
            <w:r>
              <w:rPr>
                <w:szCs w:val="24"/>
              </w:rPr>
              <w:t>1.00</w:t>
            </w:r>
          </w:p>
        </w:tc>
        <w:tc>
          <w:tcPr>
            <w:tcW w:w="810" w:type="dxa"/>
            <w:tcBorders>
              <w:top w:val="single" w:sz="12" w:space="0" w:color="000000" w:themeColor="text1"/>
            </w:tcBorders>
          </w:tcPr>
          <w:p w:rsidR="00F82B22" w:rsidRDefault="00F82B22" w:rsidP="00264700">
            <w:r w:rsidRPr="00770C62">
              <w:rPr>
                <w:szCs w:val="24"/>
              </w:rPr>
              <w:t>1.00</w:t>
            </w:r>
          </w:p>
        </w:tc>
        <w:tc>
          <w:tcPr>
            <w:tcW w:w="840" w:type="dxa"/>
            <w:tcBorders>
              <w:top w:val="single" w:sz="12" w:space="0" w:color="000000" w:themeColor="text1"/>
            </w:tcBorders>
          </w:tcPr>
          <w:p w:rsidR="00F82B22" w:rsidRDefault="00F82B22" w:rsidP="00264700">
            <w:r w:rsidRPr="00770C62">
              <w:rPr>
                <w:szCs w:val="24"/>
              </w:rPr>
              <w:t>1.00</w:t>
            </w:r>
          </w:p>
        </w:tc>
      </w:tr>
      <w:tr w:rsidR="00F82B22" w:rsidTr="00B65146">
        <w:tc>
          <w:tcPr>
            <w:tcW w:w="705" w:type="dxa"/>
          </w:tcPr>
          <w:p w:rsidR="00F82B22" w:rsidRDefault="00F82B22" w:rsidP="00310E71">
            <w:pPr>
              <w:rPr>
                <w:szCs w:val="24"/>
              </w:rPr>
            </w:pPr>
            <w:r>
              <w:rPr>
                <w:szCs w:val="24"/>
              </w:rPr>
              <w:t>---</w:t>
            </w:r>
          </w:p>
        </w:tc>
        <w:tc>
          <w:tcPr>
            <w:tcW w:w="5318" w:type="dxa"/>
          </w:tcPr>
          <w:p w:rsidR="00F82B22" w:rsidRDefault="00F82B22" w:rsidP="00310E71">
            <w:pPr>
              <w:rPr>
                <w:szCs w:val="24"/>
              </w:rPr>
            </w:pPr>
            <w:r>
              <w:rPr>
                <w:szCs w:val="24"/>
              </w:rPr>
              <w:t xml:space="preserve">Open Obligation </w:t>
            </w:r>
            <w:r w:rsidRPr="001B7460">
              <w:rPr>
                <w:b/>
                <w:color w:val="FF0000"/>
                <w:szCs w:val="24"/>
              </w:rPr>
              <w:t>(incl. Phased)</w:t>
            </w:r>
            <w:r>
              <w:rPr>
                <w:szCs w:val="24"/>
              </w:rPr>
              <w:t xml:space="preserve"> – Item has a start in P6</w:t>
            </w:r>
          </w:p>
        </w:tc>
        <w:tc>
          <w:tcPr>
            <w:tcW w:w="925" w:type="dxa"/>
          </w:tcPr>
          <w:p w:rsidR="00F82B22" w:rsidRPr="00264700" w:rsidRDefault="00F82B22" w:rsidP="00F82B22">
            <w:pPr>
              <w:jc w:val="center"/>
              <w:rPr>
                <w:sz w:val="16"/>
                <w:szCs w:val="16"/>
              </w:rPr>
            </w:pPr>
            <w:r w:rsidRPr="00264700">
              <w:rPr>
                <w:sz w:val="16"/>
                <w:szCs w:val="16"/>
              </w:rPr>
              <w:t>NA</w:t>
            </w:r>
          </w:p>
        </w:tc>
        <w:tc>
          <w:tcPr>
            <w:tcW w:w="810" w:type="dxa"/>
          </w:tcPr>
          <w:p w:rsidR="00F82B22" w:rsidRDefault="00F82B22" w:rsidP="00264700">
            <w:r w:rsidRPr="000E1999">
              <w:rPr>
                <w:szCs w:val="24"/>
              </w:rPr>
              <w:t>1.0</w:t>
            </w:r>
            <w:r>
              <w:rPr>
                <w:szCs w:val="24"/>
              </w:rPr>
              <w:t>25</w:t>
            </w:r>
          </w:p>
        </w:tc>
        <w:tc>
          <w:tcPr>
            <w:tcW w:w="840" w:type="dxa"/>
          </w:tcPr>
          <w:p w:rsidR="00F82B22" w:rsidRDefault="00F82B22" w:rsidP="00264700">
            <w:r w:rsidRPr="000E1999">
              <w:rPr>
                <w:szCs w:val="24"/>
              </w:rPr>
              <w:t>1.0</w:t>
            </w:r>
            <w:r>
              <w:rPr>
                <w:szCs w:val="24"/>
              </w:rPr>
              <w:t>25</w:t>
            </w:r>
          </w:p>
        </w:tc>
      </w:tr>
      <w:tr w:rsidR="001B7460" w:rsidTr="00B65146">
        <w:tc>
          <w:tcPr>
            <w:tcW w:w="705" w:type="dxa"/>
          </w:tcPr>
          <w:p w:rsidR="001B7460" w:rsidRDefault="001B7460" w:rsidP="00310E71">
            <w:pPr>
              <w:rPr>
                <w:szCs w:val="24"/>
              </w:rPr>
            </w:pPr>
            <w:r>
              <w:rPr>
                <w:szCs w:val="24"/>
              </w:rPr>
              <w:t>VQ</w:t>
            </w:r>
          </w:p>
        </w:tc>
        <w:tc>
          <w:tcPr>
            <w:tcW w:w="5318" w:type="dxa"/>
          </w:tcPr>
          <w:p w:rsidR="001B7460" w:rsidRDefault="001B7460" w:rsidP="00310E71">
            <w:pPr>
              <w:rPr>
                <w:szCs w:val="24"/>
              </w:rPr>
            </w:pPr>
            <w:r>
              <w:rPr>
                <w:szCs w:val="24"/>
              </w:rPr>
              <w:t>Vendor Quote</w:t>
            </w:r>
          </w:p>
        </w:tc>
        <w:tc>
          <w:tcPr>
            <w:tcW w:w="925" w:type="dxa"/>
          </w:tcPr>
          <w:p w:rsidR="001B7460" w:rsidRPr="00264700" w:rsidRDefault="001B7460" w:rsidP="00F82B22">
            <w:pPr>
              <w:jc w:val="center"/>
              <w:rPr>
                <w:sz w:val="16"/>
                <w:szCs w:val="16"/>
              </w:rPr>
            </w:pPr>
            <w:r w:rsidRPr="00264700">
              <w:rPr>
                <w:sz w:val="16"/>
                <w:szCs w:val="16"/>
              </w:rPr>
              <w:t>NA</w:t>
            </w:r>
          </w:p>
        </w:tc>
        <w:tc>
          <w:tcPr>
            <w:tcW w:w="810" w:type="dxa"/>
          </w:tcPr>
          <w:p w:rsidR="001B7460" w:rsidRDefault="00264700" w:rsidP="00264700">
            <w:r>
              <w:rPr>
                <w:szCs w:val="24"/>
              </w:rPr>
              <w:t>1.</w:t>
            </w:r>
            <w:r w:rsidR="001B7460">
              <w:rPr>
                <w:szCs w:val="24"/>
              </w:rPr>
              <w:t>10</w:t>
            </w:r>
          </w:p>
        </w:tc>
        <w:tc>
          <w:tcPr>
            <w:tcW w:w="840" w:type="dxa"/>
          </w:tcPr>
          <w:p w:rsidR="001B7460" w:rsidRDefault="001B7460" w:rsidP="00264700">
            <w:r>
              <w:rPr>
                <w:szCs w:val="24"/>
              </w:rPr>
              <w:t>1.075</w:t>
            </w:r>
          </w:p>
        </w:tc>
      </w:tr>
      <w:tr w:rsidR="001B7460" w:rsidTr="00B65146">
        <w:tc>
          <w:tcPr>
            <w:tcW w:w="705" w:type="dxa"/>
          </w:tcPr>
          <w:p w:rsidR="001B7460" w:rsidRDefault="001B7460" w:rsidP="00310E71">
            <w:pPr>
              <w:rPr>
                <w:szCs w:val="24"/>
              </w:rPr>
            </w:pPr>
            <w:r>
              <w:rPr>
                <w:szCs w:val="24"/>
              </w:rPr>
              <w:t>CP</w:t>
            </w:r>
          </w:p>
        </w:tc>
        <w:tc>
          <w:tcPr>
            <w:tcW w:w="5318" w:type="dxa"/>
          </w:tcPr>
          <w:p w:rsidR="001B7460" w:rsidRDefault="001B7460" w:rsidP="00310E71">
            <w:pPr>
              <w:rPr>
                <w:szCs w:val="24"/>
              </w:rPr>
            </w:pPr>
            <w:r>
              <w:rPr>
                <w:szCs w:val="24"/>
              </w:rPr>
              <w:t>Catalog Price</w:t>
            </w:r>
          </w:p>
        </w:tc>
        <w:tc>
          <w:tcPr>
            <w:tcW w:w="925" w:type="dxa"/>
          </w:tcPr>
          <w:p w:rsidR="001B7460" w:rsidRPr="00264700" w:rsidRDefault="001B7460" w:rsidP="00F82B22">
            <w:pPr>
              <w:jc w:val="center"/>
              <w:rPr>
                <w:sz w:val="16"/>
                <w:szCs w:val="16"/>
              </w:rPr>
            </w:pPr>
            <w:r w:rsidRPr="00264700">
              <w:rPr>
                <w:sz w:val="16"/>
                <w:szCs w:val="16"/>
              </w:rPr>
              <w:t>NA</w:t>
            </w:r>
          </w:p>
        </w:tc>
        <w:tc>
          <w:tcPr>
            <w:tcW w:w="810" w:type="dxa"/>
          </w:tcPr>
          <w:p w:rsidR="001B7460" w:rsidRDefault="00264700" w:rsidP="00264700">
            <w:r>
              <w:rPr>
                <w:szCs w:val="24"/>
              </w:rPr>
              <w:t>1.</w:t>
            </w:r>
            <w:r w:rsidR="001B7460">
              <w:rPr>
                <w:szCs w:val="24"/>
              </w:rPr>
              <w:t>25</w:t>
            </w:r>
          </w:p>
        </w:tc>
        <w:tc>
          <w:tcPr>
            <w:tcW w:w="840" w:type="dxa"/>
          </w:tcPr>
          <w:p w:rsidR="001B7460" w:rsidRDefault="00264700" w:rsidP="00264700">
            <w:r>
              <w:rPr>
                <w:szCs w:val="24"/>
              </w:rPr>
              <w:t>1.</w:t>
            </w:r>
            <w:r w:rsidR="001B7460">
              <w:rPr>
                <w:szCs w:val="24"/>
              </w:rPr>
              <w:t>10</w:t>
            </w:r>
          </w:p>
        </w:tc>
      </w:tr>
      <w:tr w:rsidR="001B7460" w:rsidTr="00B65146">
        <w:tc>
          <w:tcPr>
            <w:tcW w:w="705" w:type="dxa"/>
          </w:tcPr>
          <w:p w:rsidR="001B7460" w:rsidRDefault="001B7460" w:rsidP="00310E71">
            <w:pPr>
              <w:rPr>
                <w:szCs w:val="24"/>
              </w:rPr>
            </w:pPr>
            <w:r>
              <w:rPr>
                <w:szCs w:val="24"/>
              </w:rPr>
              <w:t>EV</w:t>
            </w:r>
          </w:p>
        </w:tc>
        <w:tc>
          <w:tcPr>
            <w:tcW w:w="5318" w:type="dxa"/>
          </w:tcPr>
          <w:p w:rsidR="001B7460" w:rsidRDefault="001B7460" w:rsidP="00310E71">
            <w:pPr>
              <w:rPr>
                <w:szCs w:val="24"/>
              </w:rPr>
            </w:pPr>
            <w:r>
              <w:rPr>
                <w:szCs w:val="24"/>
              </w:rPr>
              <w:t>Estimate from Vendor</w:t>
            </w:r>
          </w:p>
        </w:tc>
        <w:tc>
          <w:tcPr>
            <w:tcW w:w="925" w:type="dxa"/>
          </w:tcPr>
          <w:p w:rsidR="001B7460" w:rsidRPr="00264700" w:rsidRDefault="001B7460" w:rsidP="00F82B22">
            <w:pPr>
              <w:jc w:val="center"/>
              <w:rPr>
                <w:sz w:val="16"/>
                <w:szCs w:val="16"/>
              </w:rPr>
            </w:pPr>
            <w:r w:rsidRPr="00264700">
              <w:rPr>
                <w:sz w:val="16"/>
                <w:szCs w:val="16"/>
              </w:rPr>
              <w:t>NA</w:t>
            </w:r>
          </w:p>
        </w:tc>
        <w:tc>
          <w:tcPr>
            <w:tcW w:w="810" w:type="dxa"/>
          </w:tcPr>
          <w:p w:rsidR="001B7460" w:rsidRDefault="00264700" w:rsidP="00264700">
            <w:r>
              <w:rPr>
                <w:szCs w:val="24"/>
              </w:rPr>
              <w:t>1.</w:t>
            </w:r>
            <w:r w:rsidR="001B7460">
              <w:rPr>
                <w:szCs w:val="24"/>
              </w:rPr>
              <w:t>20</w:t>
            </w:r>
          </w:p>
        </w:tc>
        <w:tc>
          <w:tcPr>
            <w:tcW w:w="840" w:type="dxa"/>
          </w:tcPr>
          <w:p w:rsidR="001B7460" w:rsidRDefault="00264700" w:rsidP="00264700">
            <w:r>
              <w:rPr>
                <w:szCs w:val="24"/>
              </w:rPr>
              <w:t>1.</w:t>
            </w:r>
            <w:r w:rsidR="001B7460">
              <w:rPr>
                <w:szCs w:val="24"/>
              </w:rPr>
              <w:t>25</w:t>
            </w:r>
          </w:p>
        </w:tc>
      </w:tr>
      <w:tr w:rsidR="001B7460" w:rsidTr="00B65146">
        <w:tc>
          <w:tcPr>
            <w:tcW w:w="705" w:type="dxa"/>
          </w:tcPr>
          <w:p w:rsidR="001B7460" w:rsidRDefault="001B7460" w:rsidP="00310E71">
            <w:pPr>
              <w:rPr>
                <w:szCs w:val="24"/>
              </w:rPr>
            </w:pPr>
            <w:r>
              <w:rPr>
                <w:szCs w:val="24"/>
              </w:rPr>
              <w:t>PE</w:t>
            </w:r>
          </w:p>
        </w:tc>
        <w:tc>
          <w:tcPr>
            <w:tcW w:w="5318" w:type="dxa"/>
          </w:tcPr>
          <w:p w:rsidR="001B7460" w:rsidRDefault="001B7460" w:rsidP="00310E71">
            <w:pPr>
              <w:rPr>
                <w:szCs w:val="24"/>
              </w:rPr>
            </w:pPr>
            <w:r>
              <w:rPr>
                <w:szCs w:val="24"/>
              </w:rPr>
              <w:t>Previous JLab Experience</w:t>
            </w:r>
          </w:p>
        </w:tc>
        <w:tc>
          <w:tcPr>
            <w:tcW w:w="925" w:type="dxa"/>
          </w:tcPr>
          <w:p w:rsidR="001B7460" w:rsidRDefault="00264700" w:rsidP="00264700">
            <w:r>
              <w:rPr>
                <w:szCs w:val="24"/>
              </w:rPr>
              <w:t>1.</w:t>
            </w:r>
            <w:r w:rsidR="001B7460">
              <w:rPr>
                <w:szCs w:val="24"/>
              </w:rPr>
              <w:t>2</w:t>
            </w:r>
            <w:r w:rsidR="001B7460" w:rsidRPr="000E1999">
              <w:rPr>
                <w:szCs w:val="24"/>
              </w:rPr>
              <w:t>0</w:t>
            </w:r>
          </w:p>
        </w:tc>
        <w:tc>
          <w:tcPr>
            <w:tcW w:w="810" w:type="dxa"/>
          </w:tcPr>
          <w:p w:rsidR="001B7460" w:rsidRDefault="00264700" w:rsidP="00264700">
            <w:r>
              <w:rPr>
                <w:szCs w:val="24"/>
              </w:rPr>
              <w:t>1.</w:t>
            </w:r>
            <w:r w:rsidR="001B7460">
              <w:rPr>
                <w:szCs w:val="24"/>
              </w:rPr>
              <w:t>25</w:t>
            </w:r>
          </w:p>
        </w:tc>
        <w:tc>
          <w:tcPr>
            <w:tcW w:w="840" w:type="dxa"/>
          </w:tcPr>
          <w:p w:rsidR="001B7460" w:rsidRDefault="00264700" w:rsidP="00264700">
            <w:r>
              <w:rPr>
                <w:szCs w:val="24"/>
              </w:rPr>
              <w:t>1.</w:t>
            </w:r>
            <w:r w:rsidR="001B7460">
              <w:rPr>
                <w:szCs w:val="24"/>
              </w:rPr>
              <w:t>20</w:t>
            </w:r>
          </w:p>
        </w:tc>
      </w:tr>
      <w:tr w:rsidR="001B7460" w:rsidTr="00B65146">
        <w:tc>
          <w:tcPr>
            <w:tcW w:w="705" w:type="dxa"/>
          </w:tcPr>
          <w:p w:rsidR="001B7460" w:rsidRDefault="001B7460" w:rsidP="00310E71">
            <w:pPr>
              <w:rPr>
                <w:szCs w:val="24"/>
              </w:rPr>
            </w:pPr>
            <w:r>
              <w:rPr>
                <w:szCs w:val="24"/>
              </w:rPr>
              <w:t>O</w:t>
            </w:r>
            <w:r w:rsidR="00C03061">
              <w:rPr>
                <w:szCs w:val="24"/>
              </w:rPr>
              <w:t>I</w:t>
            </w:r>
          </w:p>
        </w:tc>
        <w:tc>
          <w:tcPr>
            <w:tcW w:w="5318" w:type="dxa"/>
          </w:tcPr>
          <w:p w:rsidR="001B7460" w:rsidRDefault="001B7460" w:rsidP="00310E71">
            <w:pPr>
              <w:rPr>
                <w:szCs w:val="24"/>
              </w:rPr>
            </w:pPr>
            <w:r>
              <w:rPr>
                <w:szCs w:val="24"/>
              </w:rPr>
              <w:t>Information from other Labs, University, etc</w:t>
            </w:r>
          </w:p>
        </w:tc>
        <w:tc>
          <w:tcPr>
            <w:tcW w:w="925" w:type="dxa"/>
          </w:tcPr>
          <w:p w:rsidR="001B7460" w:rsidRDefault="00264700" w:rsidP="00264700">
            <w:r>
              <w:rPr>
                <w:szCs w:val="24"/>
              </w:rPr>
              <w:t>1.</w:t>
            </w:r>
            <w:r w:rsidR="001B7460">
              <w:rPr>
                <w:szCs w:val="24"/>
              </w:rPr>
              <w:t>3</w:t>
            </w:r>
            <w:r w:rsidR="001B7460" w:rsidRPr="000E1999">
              <w:rPr>
                <w:szCs w:val="24"/>
              </w:rPr>
              <w:t>0</w:t>
            </w:r>
          </w:p>
        </w:tc>
        <w:tc>
          <w:tcPr>
            <w:tcW w:w="810" w:type="dxa"/>
          </w:tcPr>
          <w:p w:rsidR="001B7460" w:rsidRDefault="00264700" w:rsidP="00264700">
            <w:r>
              <w:rPr>
                <w:szCs w:val="24"/>
              </w:rPr>
              <w:t>1.</w:t>
            </w:r>
            <w:r w:rsidR="001B7460">
              <w:rPr>
                <w:szCs w:val="24"/>
              </w:rPr>
              <w:t>30</w:t>
            </w:r>
          </w:p>
        </w:tc>
        <w:tc>
          <w:tcPr>
            <w:tcW w:w="840" w:type="dxa"/>
          </w:tcPr>
          <w:p w:rsidR="001B7460" w:rsidRDefault="00264700" w:rsidP="00264700">
            <w:r>
              <w:rPr>
                <w:szCs w:val="24"/>
              </w:rPr>
              <w:t>1.</w:t>
            </w:r>
            <w:r w:rsidR="001B7460">
              <w:rPr>
                <w:szCs w:val="24"/>
              </w:rPr>
              <w:t>25</w:t>
            </w:r>
          </w:p>
        </w:tc>
      </w:tr>
      <w:tr w:rsidR="001B7460" w:rsidTr="00B65146">
        <w:tc>
          <w:tcPr>
            <w:tcW w:w="705" w:type="dxa"/>
          </w:tcPr>
          <w:p w:rsidR="001B7460" w:rsidRDefault="001B7460" w:rsidP="00310E71">
            <w:pPr>
              <w:rPr>
                <w:szCs w:val="24"/>
              </w:rPr>
            </w:pPr>
            <w:r>
              <w:rPr>
                <w:szCs w:val="24"/>
              </w:rPr>
              <w:t>EJ</w:t>
            </w:r>
          </w:p>
        </w:tc>
        <w:tc>
          <w:tcPr>
            <w:tcW w:w="5318" w:type="dxa"/>
          </w:tcPr>
          <w:p w:rsidR="001B7460" w:rsidRDefault="001B7460" w:rsidP="00310E71">
            <w:pPr>
              <w:rPr>
                <w:szCs w:val="24"/>
              </w:rPr>
            </w:pPr>
            <w:r>
              <w:rPr>
                <w:szCs w:val="24"/>
              </w:rPr>
              <w:t>Engineering Judgment</w:t>
            </w:r>
          </w:p>
        </w:tc>
        <w:tc>
          <w:tcPr>
            <w:tcW w:w="925" w:type="dxa"/>
          </w:tcPr>
          <w:p w:rsidR="001B7460" w:rsidRDefault="00264700" w:rsidP="00264700">
            <w:r>
              <w:rPr>
                <w:szCs w:val="24"/>
              </w:rPr>
              <w:t>1.</w:t>
            </w:r>
            <w:r w:rsidR="001B7460">
              <w:rPr>
                <w:szCs w:val="24"/>
              </w:rPr>
              <w:t>4</w:t>
            </w:r>
            <w:r w:rsidR="001B7460" w:rsidRPr="000E1999">
              <w:rPr>
                <w:szCs w:val="24"/>
              </w:rPr>
              <w:t>0</w:t>
            </w:r>
          </w:p>
        </w:tc>
        <w:tc>
          <w:tcPr>
            <w:tcW w:w="810" w:type="dxa"/>
          </w:tcPr>
          <w:p w:rsidR="001B7460" w:rsidRDefault="00264700" w:rsidP="00264700">
            <w:r>
              <w:rPr>
                <w:szCs w:val="24"/>
              </w:rPr>
              <w:t>1.</w:t>
            </w:r>
            <w:r w:rsidR="001B7460">
              <w:rPr>
                <w:szCs w:val="24"/>
              </w:rPr>
              <w:t>35</w:t>
            </w:r>
          </w:p>
        </w:tc>
        <w:tc>
          <w:tcPr>
            <w:tcW w:w="840" w:type="dxa"/>
          </w:tcPr>
          <w:p w:rsidR="001B7460" w:rsidRDefault="00264700" w:rsidP="00264700">
            <w:r>
              <w:rPr>
                <w:szCs w:val="24"/>
              </w:rPr>
              <w:t>1.</w:t>
            </w:r>
            <w:r w:rsidR="001B7460">
              <w:rPr>
                <w:szCs w:val="24"/>
              </w:rPr>
              <w:t>30</w:t>
            </w:r>
          </w:p>
        </w:tc>
      </w:tr>
    </w:tbl>
    <w:p w:rsidR="00310E71" w:rsidRDefault="00310E71" w:rsidP="00310E71">
      <w:pPr>
        <w:rPr>
          <w:szCs w:val="24"/>
        </w:rPr>
      </w:pPr>
    </w:p>
    <w:p w:rsidR="00310E71" w:rsidRDefault="001B7460" w:rsidP="00310E71">
      <w:pPr>
        <w:rPr>
          <w:szCs w:val="24"/>
        </w:rPr>
      </w:pPr>
      <w:r>
        <w:rPr>
          <w:szCs w:val="24"/>
        </w:rPr>
        <w:t xml:space="preserve">For “Low Risks” the CAM may </w:t>
      </w:r>
      <w:r w:rsidR="00747194">
        <w:rPr>
          <w:szCs w:val="24"/>
        </w:rPr>
        <w:t>add additional C</w:t>
      </w:r>
      <w:r>
        <w:rPr>
          <w:szCs w:val="24"/>
        </w:rPr>
        <w:t xml:space="preserve">ontingency </w:t>
      </w:r>
      <w:r w:rsidR="00747194">
        <w:rPr>
          <w:szCs w:val="24"/>
        </w:rPr>
        <w:t xml:space="preserve">for things like “Lack of Design Maturity”.  For “High and Moderate Risks” the additional Contingency will come from the </w:t>
      </w:r>
      <w:r w:rsidR="00747194" w:rsidRPr="00747194">
        <w:rPr>
          <w:b/>
          <w:szCs w:val="24"/>
          <w:u w:val="single"/>
        </w:rPr>
        <w:t xml:space="preserve">Failure Mode Probability Spreadsheet </w:t>
      </w:r>
      <w:r w:rsidR="00747194">
        <w:rPr>
          <w:szCs w:val="24"/>
        </w:rPr>
        <w:t>which contains the failure modes, the Joint APM / CAM probability assignment, the Tech, Cost and Schedule impacts</w:t>
      </w:r>
    </w:p>
    <w:p w:rsidR="00310E71" w:rsidRPr="00310E71" w:rsidRDefault="00310E71" w:rsidP="00310E71">
      <w:pPr>
        <w:rPr>
          <w:szCs w:val="24"/>
        </w:rPr>
      </w:pPr>
    </w:p>
    <w:sectPr w:rsidR="00310E71" w:rsidRPr="00310E71" w:rsidSect="00157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20"/>
  <w:characterSpacingControl w:val="doNotCompress"/>
  <w:compat/>
  <w:rsids>
    <w:rsidRoot w:val="00310E71"/>
    <w:rsid w:val="000D194A"/>
    <w:rsid w:val="00157070"/>
    <w:rsid w:val="001B7460"/>
    <w:rsid w:val="00264700"/>
    <w:rsid w:val="00310E71"/>
    <w:rsid w:val="0036432B"/>
    <w:rsid w:val="00712184"/>
    <w:rsid w:val="00747194"/>
    <w:rsid w:val="00842BA8"/>
    <w:rsid w:val="00A13B1E"/>
    <w:rsid w:val="00B50415"/>
    <w:rsid w:val="00B65146"/>
    <w:rsid w:val="00BD2293"/>
    <w:rsid w:val="00C03061"/>
    <w:rsid w:val="00C52FAB"/>
    <w:rsid w:val="00D2129E"/>
    <w:rsid w:val="00E73C54"/>
    <w:rsid w:val="00F82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BA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415"/>
    <w:pPr>
      <w:ind w:left="720"/>
      <w:contextualSpacing/>
    </w:pPr>
  </w:style>
  <w:style w:type="paragraph" w:styleId="NoSpacing">
    <w:name w:val="No Spacing"/>
    <w:uiPriority w:val="1"/>
    <w:qFormat/>
    <w:rsid w:val="00B50415"/>
    <w:pPr>
      <w:spacing w:after="0" w:line="240" w:lineRule="auto"/>
    </w:pPr>
  </w:style>
  <w:style w:type="table" w:styleId="TableGrid">
    <w:name w:val="Table Grid"/>
    <w:basedOn w:val="TableNormal"/>
    <w:uiPriority w:val="59"/>
    <w:rsid w:val="00B65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dc:creator>
  <cp:keywords/>
  <dc:description/>
  <cp:lastModifiedBy>Claus H Rode</cp:lastModifiedBy>
  <cp:revision>3</cp:revision>
  <cp:lastPrinted>2012-12-08T13:08:00Z</cp:lastPrinted>
  <dcterms:created xsi:type="dcterms:W3CDTF">2012-12-13T22:40:00Z</dcterms:created>
  <dcterms:modified xsi:type="dcterms:W3CDTF">2012-12-17T12:55:00Z</dcterms:modified>
</cp:coreProperties>
</file>