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94" w:rsidRDefault="009908CF" w:rsidP="00100294">
      <w:r>
        <w:rPr>
          <w:noProof/>
        </w:rPr>
        <w:drawing>
          <wp:inline distT="0" distB="0" distL="0" distR="0">
            <wp:extent cx="5257800" cy="600075"/>
            <wp:effectExtent l="19050" t="0" r="0" b="0"/>
            <wp:docPr id="2" name="Picture 2" descr="e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slogo"/>
                    <pic:cNvPicPr>
                      <a:picLocks noChangeAspect="1" noChangeArrowheads="1"/>
                    </pic:cNvPicPr>
                  </pic:nvPicPr>
                  <pic:blipFill>
                    <a:blip r:embed="rId8" cstate="print"/>
                    <a:srcRect/>
                    <a:stretch>
                      <a:fillRect/>
                    </a:stretch>
                  </pic:blipFill>
                  <pic:spPr bwMode="auto">
                    <a:xfrm>
                      <a:off x="0" y="0"/>
                      <a:ext cx="5257800" cy="600075"/>
                    </a:xfrm>
                    <a:prstGeom prst="rect">
                      <a:avLst/>
                    </a:prstGeom>
                    <a:noFill/>
                    <a:ln w="9525">
                      <a:noFill/>
                      <a:miter lim="800000"/>
                      <a:headEnd/>
                      <a:tailEnd/>
                    </a:ln>
                  </pic:spPr>
                </pic:pic>
              </a:graphicData>
            </a:graphic>
          </wp:inline>
        </w:drawing>
      </w:r>
    </w:p>
    <w:p w:rsidR="00100294" w:rsidRDefault="00100294" w:rsidP="00100294"/>
    <w:p w:rsidR="00100294" w:rsidRPr="00100294" w:rsidRDefault="00100294" w:rsidP="00100294">
      <w:pPr>
        <w:pStyle w:val="Caption"/>
        <w:pBdr>
          <w:top w:val="single" w:sz="4" w:space="0" w:color="auto"/>
        </w:pBdr>
        <w:jc w:val="center"/>
        <w:rPr>
          <w:sz w:val="32"/>
          <w:szCs w:val="32"/>
        </w:rPr>
      </w:pPr>
      <w:r w:rsidRPr="00100294">
        <w:rPr>
          <w:sz w:val="32"/>
          <w:szCs w:val="32"/>
        </w:rPr>
        <w:t>Standard Operating Procedure (SOP)</w:t>
      </w:r>
    </w:p>
    <w:p w:rsidR="00100294" w:rsidRDefault="00DB7786" w:rsidP="00100294">
      <w:pPr>
        <w:pBdr>
          <w:top w:val="single" w:sz="4" w:space="0" w:color="auto"/>
        </w:pBdr>
        <w:jc w:val="center"/>
      </w:pPr>
      <w:r>
        <w:pict>
          <v:rect id="_x0000_i1025" style="width:0;height:1.5pt" o:hralign="center" o:hrstd="t" o:hr="t" fillcolor="gray" stroked="f"/>
        </w:pict>
      </w:r>
    </w:p>
    <w:p w:rsidR="00100294" w:rsidRDefault="00100294" w:rsidP="00100294">
      <w:pPr>
        <w:pBdr>
          <w:top w:val="single" w:sz="4" w:space="0" w:color="auto"/>
        </w:pBdr>
        <w:jc w:val="center"/>
        <w:rPr>
          <w:sz w:val="28"/>
        </w:rPr>
      </w:pPr>
      <w:r>
        <w:rPr>
          <w:sz w:val="28"/>
        </w:rPr>
        <w:t>Cover Sheet</w:t>
      </w:r>
    </w:p>
    <w:p w:rsidR="00100294" w:rsidRDefault="00100294" w:rsidP="00100294">
      <w:pPr>
        <w:pBdr>
          <w:top w:val="single" w:sz="4" w:space="0" w:color="auto"/>
        </w:pBdr>
        <w:jc w:val="center"/>
        <w:rPr>
          <w:sz w:val="28"/>
        </w:rPr>
      </w:pPr>
    </w:p>
    <w:p w:rsidR="00100294" w:rsidRDefault="00DB7786" w:rsidP="00100294">
      <w:pPr>
        <w:pBdr>
          <w:top w:val="single" w:sz="4" w:space="0" w:color="auto"/>
        </w:pBdr>
        <w:ind w:firstLine="720"/>
        <w:rPr>
          <w:sz w:val="28"/>
        </w:rPr>
      </w:pPr>
      <w:r w:rsidRPr="00DB7786">
        <w:rPr>
          <w:noProof/>
          <w:sz w:val="20"/>
        </w:rPr>
        <w:pict>
          <v:line id="_x0000_s1026" style="position:absolute;left:0;text-align:left;z-index:251657728" from="180pt,12.25pt" to="369pt,12.25pt"/>
        </w:pict>
      </w:r>
      <w:r w:rsidR="00100294">
        <w:rPr>
          <w:sz w:val="28"/>
        </w:rPr>
        <w:t>Division Serial Number:</w:t>
      </w:r>
      <w:r w:rsidR="007C1BB6" w:rsidRPr="007C1BB6">
        <w:t xml:space="preserve"> </w:t>
      </w:r>
      <w:r w:rsidR="007C1BB6">
        <w:t xml:space="preserve">        ACC-10-031-OSP</w:t>
      </w:r>
    </w:p>
    <w:p w:rsidR="00100294" w:rsidRDefault="00100294" w:rsidP="00100294">
      <w:pPr>
        <w:pBdr>
          <w:top w:val="single" w:sz="4" w:space="0" w:color="auto"/>
        </w:pBdr>
        <w:jc w:val="center"/>
      </w:pPr>
      <w:r>
        <w:t>(Assigned by Division EH&amp;S Officer after approvals)</w:t>
      </w:r>
    </w:p>
    <w:p w:rsidR="00100294" w:rsidRDefault="00100294" w:rsidP="00100294">
      <w:pPr>
        <w:pBdr>
          <w:top w:val="single" w:sz="4" w:space="0"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4968"/>
      </w:tblGrid>
      <w:tr w:rsidR="00100294" w:rsidTr="00336697">
        <w:tc>
          <w:tcPr>
            <w:tcW w:w="8856" w:type="dxa"/>
            <w:gridSpan w:val="2"/>
          </w:tcPr>
          <w:p w:rsidR="00100294" w:rsidRDefault="00100294" w:rsidP="00336697">
            <w:r>
              <w:rPr>
                <w:b/>
                <w:bCs/>
              </w:rPr>
              <w:t>Issue Date</w:t>
            </w:r>
            <w:r w:rsidR="00FD1006">
              <w:t>:  October 22, 2009</w:t>
            </w:r>
            <w:r>
              <w:t xml:space="preserve"> </w:t>
            </w:r>
            <w:r w:rsidR="0036392B">
              <w:t xml:space="preserve">    Revised June 17</w:t>
            </w:r>
            <w:r w:rsidR="001C6A69">
              <w:t>, 2010 to account for new knife-</w:t>
            </w:r>
            <w:r w:rsidR="0036392B">
              <w:t>switch</w:t>
            </w:r>
            <w:r w:rsidR="001C6A69">
              <w:t xml:space="preserve"> breaker boxes added</w:t>
            </w:r>
            <w:r w:rsidR="0036392B">
              <w:t xml:space="preserve"> inside the control room. </w:t>
            </w:r>
          </w:p>
          <w:p w:rsidR="00100294" w:rsidRDefault="00100294" w:rsidP="00336697"/>
        </w:tc>
      </w:tr>
      <w:tr w:rsidR="00100294" w:rsidTr="00336697">
        <w:tc>
          <w:tcPr>
            <w:tcW w:w="8856" w:type="dxa"/>
            <w:gridSpan w:val="2"/>
          </w:tcPr>
          <w:p w:rsidR="00100294" w:rsidRDefault="00100294" w:rsidP="00336697">
            <w:r>
              <w:rPr>
                <w:b/>
                <w:bCs/>
              </w:rPr>
              <w:t>Expiration Date</w:t>
            </w:r>
            <w:r>
              <w:t xml:space="preserve">:   </w:t>
            </w:r>
            <w:r w:rsidR="00FD1006">
              <w:t>October 22</w:t>
            </w:r>
            <w:r w:rsidR="004B6B82">
              <w:t>, 2012</w:t>
            </w:r>
            <w:r>
              <w:t xml:space="preserve">   </w:t>
            </w:r>
          </w:p>
          <w:p w:rsidR="00100294" w:rsidRDefault="00100294" w:rsidP="00336697"/>
        </w:tc>
      </w:tr>
      <w:tr w:rsidR="00100294" w:rsidTr="00336697">
        <w:tc>
          <w:tcPr>
            <w:tcW w:w="8856" w:type="dxa"/>
            <w:gridSpan w:val="2"/>
          </w:tcPr>
          <w:p w:rsidR="00100294" w:rsidRDefault="00100294" w:rsidP="00336697">
            <w:pPr>
              <w:rPr>
                <w:b/>
                <w:bCs/>
              </w:rPr>
            </w:pPr>
            <w:r>
              <w:rPr>
                <w:b/>
                <w:bCs/>
              </w:rPr>
              <w:t>Title:</w:t>
            </w:r>
            <w:r w:rsidR="00325B8E">
              <w:rPr>
                <w:b/>
                <w:bCs/>
              </w:rPr>
              <w:t xml:space="preserve"> Field Emission </w:t>
            </w:r>
            <w:r w:rsidR="00DC34D1">
              <w:rPr>
                <w:b/>
                <w:bCs/>
              </w:rPr>
              <w:t>Measurements</w:t>
            </w:r>
            <w:r w:rsidR="00325B8E">
              <w:rPr>
                <w:b/>
                <w:bCs/>
              </w:rPr>
              <w:t xml:space="preserve"> at the </w:t>
            </w:r>
            <w:r w:rsidR="009B45DA">
              <w:rPr>
                <w:b/>
                <w:bCs/>
              </w:rPr>
              <w:t>North</w:t>
            </w:r>
            <w:r w:rsidR="00325B8E">
              <w:rPr>
                <w:b/>
                <w:bCs/>
              </w:rPr>
              <w:t xml:space="preserve"> Cave</w:t>
            </w:r>
            <w:r w:rsidR="009B45DA">
              <w:rPr>
                <w:b/>
                <w:bCs/>
              </w:rPr>
              <w:t xml:space="preserve"> </w:t>
            </w:r>
          </w:p>
          <w:p w:rsidR="00100294" w:rsidRDefault="00100294" w:rsidP="00336697">
            <w:pPr>
              <w:rPr>
                <w:b/>
                <w:bCs/>
              </w:rPr>
            </w:pPr>
          </w:p>
        </w:tc>
      </w:tr>
      <w:tr w:rsidR="00100294" w:rsidTr="00336697">
        <w:tc>
          <w:tcPr>
            <w:tcW w:w="8856" w:type="dxa"/>
            <w:gridSpan w:val="2"/>
          </w:tcPr>
          <w:p w:rsidR="00100294" w:rsidRDefault="00100294" w:rsidP="00DD3F51">
            <w:r>
              <w:rPr>
                <w:b/>
                <w:bCs/>
              </w:rPr>
              <w:t>Location</w:t>
            </w:r>
            <w:r>
              <w:t xml:space="preserve">:   </w:t>
            </w:r>
            <w:r w:rsidR="00072E44">
              <w:t xml:space="preserve">Injector Test Cave </w:t>
            </w:r>
            <w:r w:rsidR="00DD3F51">
              <w:t>North, Rooms 127 and 129</w:t>
            </w:r>
            <w:r w:rsidR="003B250D">
              <w:t xml:space="preserve"> at</w:t>
            </w:r>
            <w:r w:rsidR="00325B8E">
              <w:t xml:space="preserve"> Building 58</w:t>
            </w:r>
            <w:r>
              <w:t xml:space="preserve"> </w:t>
            </w:r>
          </w:p>
        </w:tc>
      </w:tr>
      <w:tr w:rsidR="00100294" w:rsidTr="00336697">
        <w:tc>
          <w:tcPr>
            <w:tcW w:w="3888" w:type="dxa"/>
          </w:tcPr>
          <w:p w:rsidR="00100294" w:rsidRDefault="00100294" w:rsidP="00336697">
            <w:r>
              <w:t xml:space="preserve">Risk Classification:                                             </w:t>
            </w:r>
          </w:p>
          <w:p w:rsidR="00100294" w:rsidRDefault="00100294" w:rsidP="00336697">
            <w:r>
              <w:t xml:space="preserve"> (See </w:t>
            </w:r>
            <w:r>
              <w:rPr>
                <w:b/>
                <w:bCs/>
              </w:rPr>
              <w:t xml:space="preserve">EH&amp;S Manual Chapter 3210 </w:t>
            </w:r>
            <w:r>
              <w:rPr>
                <w:i/>
                <w:iCs/>
              </w:rPr>
              <w:t>Hazard Identification and Characterization</w:t>
            </w:r>
            <w:r>
              <w:t xml:space="preserve">)       </w:t>
            </w:r>
          </w:p>
        </w:tc>
        <w:tc>
          <w:tcPr>
            <w:tcW w:w="4968" w:type="dxa"/>
          </w:tcPr>
          <w:p w:rsidR="00100294" w:rsidRDefault="00100294" w:rsidP="00336697">
            <w:pPr>
              <w:rPr>
                <w:b/>
                <w:bCs/>
              </w:rPr>
            </w:pPr>
            <w:r>
              <w:t>Withou</w:t>
            </w:r>
            <w:r w:rsidR="00072E44">
              <w:t>t mitigation measures</w:t>
            </w:r>
            <w:r>
              <w:t xml:space="preserve">: </w:t>
            </w:r>
            <w:r w:rsidR="00DD3F51">
              <w:t xml:space="preserve"> 4</w:t>
            </w:r>
            <w:r>
              <w:t xml:space="preserve">    </w:t>
            </w:r>
          </w:p>
          <w:p w:rsidR="00100294" w:rsidRDefault="00100294" w:rsidP="00336697">
            <w:pPr>
              <w:jc w:val="right"/>
            </w:pPr>
          </w:p>
          <w:p w:rsidR="00100294" w:rsidRDefault="00100294" w:rsidP="00336697">
            <w:r>
              <w:t>With specifi</w:t>
            </w:r>
            <w:r w:rsidR="00072E44">
              <w:t>ed measures implemented</w:t>
            </w:r>
            <w:r>
              <w:t xml:space="preserve">:  </w:t>
            </w:r>
            <w:r w:rsidR="00237C0E">
              <w:t>1</w:t>
            </w:r>
            <w:r>
              <w:t xml:space="preserve"> </w:t>
            </w:r>
          </w:p>
          <w:p w:rsidR="00100294" w:rsidRDefault="00100294" w:rsidP="00336697">
            <w:pPr>
              <w:jc w:val="right"/>
              <w:rPr>
                <w:b/>
                <w:bCs/>
              </w:rPr>
            </w:pPr>
          </w:p>
        </w:tc>
      </w:tr>
      <w:tr w:rsidR="00100294" w:rsidTr="00336697">
        <w:tc>
          <w:tcPr>
            <w:tcW w:w="8856" w:type="dxa"/>
            <w:gridSpan w:val="2"/>
          </w:tcPr>
          <w:p w:rsidR="00100294" w:rsidRDefault="00072E44" w:rsidP="00554538">
            <w:pPr>
              <w:pStyle w:val="Header"/>
              <w:tabs>
                <w:tab w:val="clear" w:pos="4320"/>
                <w:tab w:val="clear" w:pos="8640"/>
              </w:tabs>
            </w:pPr>
            <w:r>
              <w:t>Authors</w:t>
            </w:r>
            <w:r w:rsidR="00100294">
              <w:t>:</w:t>
            </w:r>
            <w:r w:rsidR="00325B8E">
              <w:t xml:space="preserve">  Matt </w:t>
            </w:r>
            <w:proofErr w:type="spellStart"/>
            <w:r w:rsidR="00325B8E">
              <w:t>Poelker</w:t>
            </w:r>
            <w:proofErr w:type="spellEnd"/>
            <w:r w:rsidR="00325B8E">
              <w:t xml:space="preserve">, John </w:t>
            </w:r>
            <w:proofErr w:type="spellStart"/>
            <w:r w:rsidR="00325B8E">
              <w:t>Hansknecht</w:t>
            </w:r>
            <w:proofErr w:type="spellEnd"/>
          </w:p>
        </w:tc>
      </w:tr>
    </w:tbl>
    <w:p w:rsidR="00100294" w:rsidRDefault="00100294" w:rsidP="00100294">
      <w:pPr>
        <w:pBdr>
          <w:top w:val="single" w:sz="4"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100294" w:rsidTr="00336697">
        <w:tc>
          <w:tcPr>
            <w:tcW w:w="8856" w:type="dxa"/>
            <w:gridSpan w:val="2"/>
          </w:tcPr>
          <w:p w:rsidR="00100294" w:rsidRDefault="00100294" w:rsidP="00336697">
            <w:r>
              <w:rPr>
                <w:b/>
                <w:bCs/>
              </w:rPr>
              <w:t>Supplemental technical validations</w:t>
            </w:r>
            <w:r>
              <w:t>:</w:t>
            </w:r>
          </w:p>
        </w:tc>
      </w:tr>
      <w:tr w:rsidR="00100294" w:rsidTr="00336697">
        <w:tc>
          <w:tcPr>
            <w:tcW w:w="4428" w:type="dxa"/>
          </w:tcPr>
          <w:p w:rsidR="00100294" w:rsidRDefault="00100294" w:rsidP="00336697">
            <w:r>
              <w:rPr>
                <w:b/>
                <w:bCs/>
              </w:rPr>
              <w:t>Hazard Reviewed</w:t>
            </w:r>
            <w:r>
              <w:t>:</w:t>
            </w:r>
          </w:p>
        </w:tc>
        <w:tc>
          <w:tcPr>
            <w:tcW w:w="4428" w:type="dxa"/>
          </w:tcPr>
          <w:p w:rsidR="00100294" w:rsidRDefault="00100294" w:rsidP="00336697">
            <w:pPr>
              <w:rPr>
                <w:b/>
                <w:bCs/>
              </w:rPr>
            </w:pPr>
            <w:r>
              <w:rPr>
                <w:b/>
                <w:bCs/>
              </w:rPr>
              <w:t>Reviewed Signature(s):</w:t>
            </w:r>
          </w:p>
        </w:tc>
      </w:tr>
      <w:tr w:rsidR="00100294" w:rsidTr="00336697">
        <w:tc>
          <w:tcPr>
            <w:tcW w:w="4428" w:type="dxa"/>
          </w:tcPr>
          <w:p w:rsidR="00100294" w:rsidRDefault="00E874BF" w:rsidP="00336697">
            <w:pPr>
              <w:rPr>
                <w:b/>
                <w:bCs/>
              </w:rPr>
            </w:pPr>
            <w:r>
              <w:rPr>
                <w:b/>
                <w:bCs/>
              </w:rPr>
              <w:t>Electrical</w:t>
            </w:r>
          </w:p>
        </w:tc>
        <w:tc>
          <w:tcPr>
            <w:tcW w:w="4428" w:type="dxa"/>
          </w:tcPr>
          <w:p w:rsidR="00100294" w:rsidRDefault="00E874BF" w:rsidP="00336697">
            <w:pPr>
              <w:rPr>
                <w:b/>
                <w:bCs/>
              </w:rPr>
            </w:pPr>
            <w:r>
              <w:rPr>
                <w:b/>
                <w:bCs/>
              </w:rPr>
              <w:t xml:space="preserve">Todd </w:t>
            </w:r>
            <w:proofErr w:type="spellStart"/>
            <w:r>
              <w:rPr>
                <w:b/>
                <w:bCs/>
              </w:rPr>
              <w:t>Kujawa</w:t>
            </w:r>
            <w:proofErr w:type="spellEnd"/>
          </w:p>
        </w:tc>
      </w:tr>
      <w:tr w:rsidR="00100294" w:rsidTr="00336697">
        <w:tc>
          <w:tcPr>
            <w:tcW w:w="4428" w:type="dxa"/>
          </w:tcPr>
          <w:p w:rsidR="00100294" w:rsidRDefault="00E874BF" w:rsidP="00336697">
            <w:pPr>
              <w:rPr>
                <w:b/>
                <w:bCs/>
              </w:rPr>
            </w:pPr>
            <w:r>
              <w:rPr>
                <w:b/>
                <w:bCs/>
              </w:rPr>
              <w:t>Radiation</w:t>
            </w:r>
          </w:p>
        </w:tc>
        <w:tc>
          <w:tcPr>
            <w:tcW w:w="4428" w:type="dxa"/>
          </w:tcPr>
          <w:p w:rsidR="00100294" w:rsidRDefault="00E874BF" w:rsidP="00336697">
            <w:pPr>
              <w:rPr>
                <w:b/>
                <w:bCs/>
              </w:rPr>
            </w:pPr>
            <w:r>
              <w:rPr>
                <w:b/>
                <w:bCs/>
              </w:rPr>
              <w:t>Keith Welch</w:t>
            </w:r>
          </w:p>
        </w:tc>
      </w:tr>
      <w:tr w:rsidR="00100294" w:rsidTr="00336697">
        <w:tc>
          <w:tcPr>
            <w:tcW w:w="4428" w:type="dxa"/>
          </w:tcPr>
          <w:p w:rsidR="00100294" w:rsidRDefault="00E874BF" w:rsidP="00336697">
            <w:pPr>
              <w:rPr>
                <w:b/>
                <w:bCs/>
              </w:rPr>
            </w:pPr>
            <w:r>
              <w:rPr>
                <w:b/>
                <w:bCs/>
              </w:rPr>
              <w:t>Industrial</w:t>
            </w:r>
          </w:p>
        </w:tc>
        <w:tc>
          <w:tcPr>
            <w:tcW w:w="4428" w:type="dxa"/>
          </w:tcPr>
          <w:p w:rsidR="00100294" w:rsidRDefault="00E874BF" w:rsidP="00336697">
            <w:pPr>
              <w:rPr>
                <w:b/>
                <w:bCs/>
              </w:rPr>
            </w:pPr>
            <w:r>
              <w:rPr>
                <w:b/>
                <w:bCs/>
              </w:rPr>
              <w:t>Bob May</w:t>
            </w:r>
          </w:p>
        </w:tc>
      </w:tr>
      <w:tr w:rsidR="00100294" w:rsidTr="00336697">
        <w:tc>
          <w:tcPr>
            <w:tcW w:w="4428" w:type="dxa"/>
          </w:tcPr>
          <w:p w:rsidR="00100294" w:rsidRDefault="00E874BF" w:rsidP="00336697">
            <w:pPr>
              <w:rPr>
                <w:b/>
                <w:bCs/>
              </w:rPr>
            </w:pPr>
            <w:r>
              <w:rPr>
                <w:b/>
                <w:bCs/>
              </w:rPr>
              <w:t>Personnel Safety System</w:t>
            </w:r>
          </w:p>
        </w:tc>
        <w:tc>
          <w:tcPr>
            <w:tcW w:w="4428" w:type="dxa"/>
          </w:tcPr>
          <w:p w:rsidR="00100294" w:rsidRDefault="00E874BF" w:rsidP="00336697">
            <w:pPr>
              <w:rPr>
                <w:b/>
                <w:bCs/>
              </w:rPr>
            </w:pPr>
            <w:r>
              <w:rPr>
                <w:b/>
                <w:bCs/>
              </w:rPr>
              <w:t>Kelly Mahoney</w:t>
            </w:r>
          </w:p>
        </w:tc>
      </w:tr>
    </w:tbl>
    <w:p w:rsidR="00100294" w:rsidRDefault="00100294" w:rsidP="00100294">
      <w:pPr>
        <w:pBdr>
          <w:top w:val="single" w:sz="4" w:space="0" w:color="auto"/>
        </w:pBdr>
      </w:pPr>
    </w:p>
    <w:p w:rsidR="00100294" w:rsidRDefault="00100294" w:rsidP="00100294">
      <w:pPr>
        <w:pBdr>
          <w:top w:val="single" w:sz="4"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100294" w:rsidTr="00336697">
        <w:tc>
          <w:tcPr>
            <w:tcW w:w="8856" w:type="dxa"/>
          </w:tcPr>
          <w:p w:rsidR="00100294" w:rsidRDefault="00100294" w:rsidP="00336697">
            <w:pPr>
              <w:rPr>
                <w:b/>
                <w:bCs/>
              </w:rPr>
            </w:pPr>
            <w:r>
              <w:rPr>
                <w:b/>
                <w:bCs/>
              </w:rPr>
              <w:t>Signatures:</w:t>
            </w:r>
          </w:p>
        </w:tc>
      </w:tr>
      <w:tr w:rsidR="00100294" w:rsidTr="00336697">
        <w:tc>
          <w:tcPr>
            <w:tcW w:w="8856" w:type="dxa"/>
          </w:tcPr>
          <w:p w:rsidR="00100294" w:rsidRDefault="00100294" w:rsidP="00336697">
            <w:pPr>
              <w:rPr>
                <w:b/>
                <w:bCs/>
              </w:rPr>
            </w:pPr>
            <w:r>
              <w:rPr>
                <w:b/>
                <w:bCs/>
              </w:rPr>
              <w:t>EH&amp;S Staff Reviewer:</w:t>
            </w:r>
          </w:p>
        </w:tc>
      </w:tr>
      <w:tr w:rsidR="00100294" w:rsidTr="00336697">
        <w:tc>
          <w:tcPr>
            <w:tcW w:w="8856" w:type="dxa"/>
          </w:tcPr>
          <w:p w:rsidR="00100294" w:rsidRDefault="00100294" w:rsidP="00336697">
            <w:pPr>
              <w:rPr>
                <w:b/>
                <w:bCs/>
              </w:rPr>
            </w:pPr>
            <w:r>
              <w:rPr>
                <w:b/>
                <w:bCs/>
              </w:rPr>
              <w:t>Division EH&amp;S Officer Approval:</w:t>
            </w:r>
            <w:r w:rsidR="00B8206D">
              <w:rPr>
                <w:b/>
                <w:bCs/>
              </w:rPr>
              <w:t xml:space="preserve">  Phil Mutton</w:t>
            </w:r>
          </w:p>
        </w:tc>
      </w:tr>
      <w:tr w:rsidR="00100294" w:rsidTr="00336697">
        <w:tc>
          <w:tcPr>
            <w:tcW w:w="8856" w:type="dxa"/>
          </w:tcPr>
          <w:p w:rsidR="00100294" w:rsidRDefault="00100294" w:rsidP="00336697">
            <w:pPr>
              <w:rPr>
                <w:b/>
                <w:bCs/>
              </w:rPr>
            </w:pPr>
            <w:r>
              <w:rPr>
                <w:b/>
                <w:bCs/>
              </w:rPr>
              <w:t>Department or Group Approval:</w:t>
            </w:r>
            <w:r w:rsidR="0007147F">
              <w:rPr>
                <w:b/>
                <w:bCs/>
              </w:rPr>
              <w:t xml:space="preserve"> Andrew Hutton</w:t>
            </w:r>
          </w:p>
        </w:tc>
      </w:tr>
      <w:tr w:rsidR="00100294" w:rsidTr="00336697">
        <w:tc>
          <w:tcPr>
            <w:tcW w:w="8856" w:type="dxa"/>
          </w:tcPr>
          <w:p w:rsidR="00100294" w:rsidRDefault="00100294" w:rsidP="00336697">
            <w:pPr>
              <w:rPr>
                <w:b/>
                <w:bCs/>
              </w:rPr>
            </w:pPr>
            <w:r>
              <w:rPr>
                <w:b/>
                <w:bCs/>
              </w:rPr>
              <w:t>Other Approval(s):</w:t>
            </w:r>
          </w:p>
        </w:tc>
      </w:tr>
    </w:tbl>
    <w:p w:rsidR="00100294" w:rsidRDefault="00100294" w:rsidP="00100294">
      <w:pPr>
        <w:pBdr>
          <w:top w:val="single" w:sz="4" w:space="0" w:color="auto"/>
        </w:pBdr>
      </w:pPr>
    </w:p>
    <w:p w:rsidR="00100294" w:rsidRDefault="00100294" w:rsidP="00100294">
      <w:pPr>
        <w:pBdr>
          <w:top w:val="single" w:sz="4" w:space="0" w:color="auto"/>
        </w:pBdr>
        <w:jc w:val="center"/>
        <w:rPr>
          <w:b/>
          <w:bCs/>
        </w:rPr>
      </w:pPr>
      <w:r>
        <w:rPr>
          <w:b/>
          <w:bCs/>
        </w:rPr>
        <w:t>Distribution:</w:t>
      </w:r>
    </w:p>
    <w:p w:rsidR="00E874BF" w:rsidRDefault="00100294" w:rsidP="00E11DF3">
      <w:pPr>
        <w:pBdr>
          <w:top w:val="single" w:sz="4" w:space="0" w:color="auto"/>
        </w:pBdr>
        <w:jc w:val="center"/>
      </w:pPr>
      <w:r>
        <w:t>Copies to: Affected Area, Authors, Division EH&amp;S Officer</w:t>
      </w:r>
      <w:r w:rsidR="00E874BF">
        <w:t>, Safety Systems Group Leader.</w:t>
      </w:r>
    </w:p>
    <w:p w:rsidR="00100294" w:rsidRDefault="00100294" w:rsidP="00E11DF3">
      <w:pPr>
        <w:pBdr>
          <w:top w:val="single" w:sz="4" w:space="0" w:color="auto"/>
        </w:pBdr>
        <w:jc w:val="center"/>
      </w:pPr>
      <w:r>
        <w:t>Original: EH&amp;S Reporting Manager</w:t>
      </w:r>
    </w:p>
    <w:p w:rsidR="005B720F" w:rsidRDefault="00100294">
      <w:pPr>
        <w:pStyle w:val="Caption"/>
      </w:pPr>
      <w:r>
        <w:br w:type="page"/>
      </w:r>
      <w:r w:rsidR="005B720F">
        <w:lastRenderedPageBreak/>
        <w:t>TABLE OF CONTENTS</w:t>
      </w:r>
    </w:p>
    <w:p w:rsidR="00756609" w:rsidRDefault="00DB7786">
      <w:pPr>
        <w:pStyle w:val="TOC1"/>
        <w:tabs>
          <w:tab w:val="left" w:pos="480"/>
          <w:tab w:val="right" w:leader="dot" w:pos="8630"/>
        </w:tabs>
        <w:rPr>
          <w:rFonts w:asciiTheme="minorHAnsi" w:eastAsiaTheme="minorEastAsia" w:hAnsiTheme="minorHAnsi" w:cstheme="minorBidi"/>
          <w:noProof/>
          <w:sz w:val="22"/>
          <w:szCs w:val="22"/>
        </w:rPr>
      </w:pPr>
      <w:r w:rsidRPr="00DB7786">
        <w:fldChar w:fldCharType="begin"/>
      </w:r>
      <w:r w:rsidR="005B720F">
        <w:instrText xml:space="preserve"> TOC  \* MERGEFORMAT </w:instrText>
      </w:r>
      <w:r w:rsidRPr="00DB7786">
        <w:fldChar w:fldCharType="separate"/>
      </w:r>
      <w:r w:rsidR="00756609">
        <w:rPr>
          <w:noProof/>
        </w:rPr>
        <w:t>1.</w:t>
      </w:r>
      <w:r w:rsidR="00756609">
        <w:rPr>
          <w:rFonts w:asciiTheme="minorHAnsi" w:eastAsiaTheme="minorEastAsia" w:hAnsiTheme="minorHAnsi" w:cstheme="minorBidi"/>
          <w:noProof/>
          <w:sz w:val="22"/>
          <w:szCs w:val="22"/>
        </w:rPr>
        <w:tab/>
      </w:r>
      <w:r w:rsidR="00756609">
        <w:rPr>
          <w:noProof/>
        </w:rPr>
        <w:t>Purpose</w:t>
      </w:r>
      <w:r w:rsidR="00756609">
        <w:rPr>
          <w:noProof/>
        </w:rPr>
        <w:tab/>
      </w:r>
      <w:r>
        <w:rPr>
          <w:noProof/>
        </w:rPr>
        <w:fldChar w:fldCharType="begin"/>
      </w:r>
      <w:r w:rsidR="00756609">
        <w:rPr>
          <w:noProof/>
        </w:rPr>
        <w:instrText xml:space="preserve"> PAGEREF _Toc212358836 \h </w:instrText>
      </w:r>
      <w:r>
        <w:rPr>
          <w:noProof/>
        </w:rPr>
      </w:r>
      <w:r>
        <w:rPr>
          <w:noProof/>
        </w:rPr>
        <w:fldChar w:fldCharType="separate"/>
      </w:r>
      <w:r w:rsidR="00A62009">
        <w:rPr>
          <w:noProof/>
        </w:rPr>
        <w:t>2</w:t>
      </w:r>
      <w:r>
        <w:rPr>
          <w:noProof/>
        </w:rPr>
        <w:fldChar w:fldCharType="end"/>
      </w:r>
    </w:p>
    <w:p w:rsidR="00756609" w:rsidRDefault="00756609">
      <w:pPr>
        <w:pStyle w:val="TOC1"/>
        <w:tabs>
          <w:tab w:val="left" w:pos="480"/>
          <w:tab w:val="right" w:leader="dot" w:pos="863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Scope</w:t>
      </w:r>
      <w:r>
        <w:rPr>
          <w:noProof/>
        </w:rPr>
        <w:tab/>
      </w:r>
      <w:r w:rsidR="00DB7786">
        <w:rPr>
          <w:noProof/>
        </w:rPr>
        <w:fldChar w:fldCharType="begin"/>
      </w:r>
      <w:r>
        <w:rPr>
          <w:noProof/>
        </w:rPr>
        <w:instrText xml:space="preserve"> PAGEREF _Toc212358837 \h </w:instrText>
      </w:r>
      <w:r w:rsidR="00DB7786">
        <w:rPr>
          <w:noProof/>
        </w:rPr>
      </w:r>
      <w:r w:rsidR="00DB7786">
        <w:rPr>
          <w:noProof/>
        </w:rPr>
        <w:fldChar w:fldCharType="separate"/>
      </w:r>
      <w:r w:rsidR="00A62009">
        <w:rPr>
          <w:noProof/>
        </w:rPr>
        <w:t>2</w:t>
      </w:r>
      <w:r w:rsidR="00DB7786">
        <w:rPr>
          <w:noProof/>
        </w:rPr>
        <w:fldChar w:fldCharType="end"/>
      </w:r>
    </w:p>
    <w:p w:rsidR="00756609" w:rsidRDefault="00756609">
      <w:pPr>
        <w:pStyle w:val="TOC1"/>
        <w:tabs>
          <w:tab w:val="left" w:pos="480"/>
          <w:tab w:val="right" w:leader="dot" w:pos="863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Background</w:t>
      </w:r>
      <w:r>
        <w:rPr>
          <w:noProof/>
        </w:rPr>
        <w:tab/>
      </w:r>
      <w:r w:rsidR="00DB7786">
        <w:rPr>
          <w:noProof/>
        </w:rPr>
        <w:fldChar w:fldCharType="begin"/>
      </w:r>
      <w:r>
        <w:rPr>
          <w:noProof/>
        </w:rPr>
        <w:instrText xml:space="preserve"> PAGEREF _Toc212358840 \h </w:instrText>
      </w:r>
      <w:r w:rsidR="00DB7786">
        <w:rPr>
          <w:noProof/>
        </w:rPr>
      </w:r>
      <w:r w:rsidR="00DB7786">
        <w:rPr>
          <w:noProof/>
        </w:rPr>
        <w:fldChar w:fldCharType="separate"/>
      </w:r>
      <w:r w:rsidR="00A62009">
        <w:rPr>
          <w:noProof/>
        </w:rPr>
        <w:t>3</w:t>
      </w:r>
      <w:r w:rsidR="00DB7786">
        <w:rPr>
          <w:noProof/>
        </w:rPr>
        <w:fldChar w:fldCharType="end"/>
      </w:r>
    </w:p>
    <w:p w:rsidR="00756609" w:rsidRDefault="00756609">
      <w:pPr>
        <w:pStyle w:val="TOC1"/>
        <w:tabs>
          <w:tab w:val="left" w:pos="480"/>
          <w:tab w:val="right" w:leader="dot" w:pos="863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References</w:t>
      </w:r>
      <w:r>
        <w:rPr>
          <w:noProof/>
        </w:rPr>
        <w:tab/>
      </w:r>
      <w:r w:rsidR="00DB7786">
        <w:rPr>
          <w:noProof/>
        </w:rPr>
        <w:fldChar w:fldCharType="begin"/>
      </w:r>
      <w:r>
        <w:rPr>
          <w:noProof/>
        </w:rPr>
        <w:instrText xml:space="preserve"> PAGEREF _Toc212358841 \h </w:instrText>
      </w:r>
      <w:r w:rsidR="00DB7786">
        <w:rPr>
          <w:noProof/>
        </w:rPr>
      </w:r>
      <w:r w:rsidR="00DB7786">
        <w:rPr>
          <w:noProof/>
        </w:rPr>
        <w:fldChar w:fldCharType="separate"/>
      </w:r>
      <w:r w:rsidR="00A62009">
        <w:rPr>
          <w:noProof/>
        </w:rPr>
        <w:t>3</w:t>
      </w:r>
      <w:r w:rsidR="00DB7786">
        <w:rPr>
          <w:noProof/>
        </w:rPr>
        <w:fldChar w:fldCharType="end"/>
      </w:r>
    </w:p>
    <w:p w:rsidR="00756609" w:rsidRDefault="00756609">
      <w:pPr>
        <w:pStyle w:val="TOC1"/>
        <w:tabs>
          <w:tab w:val="left" w:pos="480"/>
          <w:tab w:val="right" w:leader="dot" w:pos="863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Overview</w:t>
      </w:r>
      <w:r>
        <w:rPr>
          <w:noProof/>
        </w:rPr>
        <w:tab/>
      </w:r>
      <w:r w:rsidR="00DB7786">
        <w:rPr>
          <w:noProof/>
        </w:rPr>
        <w:fldChar w:fldCharType="begin"/>
      </w:r>
      <w:r>
        <w:rPr>
          <w:noProof/>
        </w:rPr>
        <w:instrText xml:space="preserve"> PAGEREF _Toc212358842 \h </w:instrText>
      </w:r>
      <w:r w:rsidR="00DB7786">
        <w:rPr>
          <w:noProof/>
        </w:rPr>
      </w:r>
      <w:r w:rsidR="00DB7786">
        <w:rPr>
          <w:noProof/>
        </w:rPr>
        <w:fldChar w:fldCharType="separate"/>
      </w:r>
      <w:r w:rsidR="00A62009">
        <w:rPr>
          <w:noProof/>
        </w:rPr>
        <w:t>3</w:t>
      </w:r>
      <w:r w:rsidR="00DB7786">
        <w:rPr>
          <w:noProof/>
        </w:rPr>
        <w:fldChar w:fldCharType="end"/>
      </w:r>
    </w:p>
    <w:p w:rsidR="00756609" w:rsidRDefault="00756609">
      <w:pPr>
        <w:pStyle w:val="TOC2"/>
        <w:tabs>
          <w:tab w:val="left" w:pos="880"/>
          <w:tab w:val="right" w:leader="dot" w:pos="863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Facility/System Description - Layout</w:t>
      </w:r>
      <w:r>
        <w:rPr>
          <w:noProof/>
        </w:rPr>
        <w:tab/>
      </w:r>
      <w:r w:rsidR="00DB7786">
        <w:rPr>
          <w:noProof/>
        </w:rPr>
        <w:fldChar w:fldCharType="begin"/>
      </w:r>
      <w:r>
        <w:rPr>
          <w:noProof/>
        </w:rPr>
        <w:instrText xml:space="preserve"> PAGEREF _Toc212358843 \h </w:instrText>
      </w:r>
      <w:r w:rsidR="00DB7786">
        <w:rPr>
          <w:noProof/>
        </w:rPr>
      </w:r>
      <w:r w:rsidR="00DB7786">
        <w:rPr>
          <w:noProof/>
        </w:rPr>
        <w:fldChar w:fldCharType="separate"/>
      </w:r>
      <w:r w:rsidR="00A62009">
        <w:rPr>
          <w:noProof/>
        </w:rPr>
        <w:t>3</w:t>
      </w:r>
      <w:r w:rsidR="00DB7786">
        <w:rPr>
          <w:noProof/>
        </w:rPr>
        <w:fldChar w:fldCharType="end"/>
      </w:r>
    </w:p>
    <w:p w:rsidR="00756609" w:rsidRDefault="00756609">
      <w:pPr>
        <w:pStyle w:val="TOC2"/>
        <w:tabs>
          <w:tab w:val="left" w:pos="880"/>
          <w:tab w:val="right" w:leader="dot" w:pos="8630"/>
        </w:tabs>
        <w:rPr>
          <w:rFonts w:asciiTheme="minorHAnsi" w:eastAsiaTheme="minorEastAsia" w:hAnsiTheme="minorHAnsi" w:cstheme="minorBidi"/>
          <w:noProof/>
          <w:sz w:val="22"/>
          <w:szCs w:val="22"/>
        </w:rPr>
      </w:pPr>
      <w:r w:rsidRPr="002D2E4D">
        <w:rPr>
          <w:rFonts w:eastAsia="MS Mincho"/>
          <w:noProof/>
        </w:rPr>
        <w:t>5.2.</w:t>
      </w:r>
      <w:r>
        <w:rPr>
          <w:rFonts w:asciiTheme="minorHAnsi" w:eastAsiaTheme="minorEastAsia" w:hAnsiTheme="minorHAnsi" w:cstheme="minorBidi"/>
          <w:noProof/>
          <w:sz w:val="22"/>
          <w:szCs w:val="22"/>
        </w:rPr>
        <w:tab/>
      </w:r>
      <w:r w:rsidRPr="002D2E4D">
        <w:rPr>
          <w:rFonts w:eastAsia="MS Mincho"/>
          <w:noProof/>
        </w:rPr>
        <w:t>North Cave PSS</w:t>
      </w:r>
      <w:r>
        <w:rPr>
          <w:noProof/>
        </w:rPr>
        <w:tab/>
      </w:r>
      <w:r w:rsidR="00DB7786">
        <w:rPr>
          <w:noProof/>
        </w:rPr>
        <w:fldChar w:fldCharType="begin"/>
      </w:r>
      <w:r>
        <w:rPr>
          <w:noProof/>
        </w:rPr>
        <w:instrText xml:space="preserve"> PAGEREF _Toc212358844 \h </w:instrText>
      </w:r>
      <w:r w:rsidR="00DB7786">
        <w:rPr>
          <w:noProof/>
        </w:rPr>
      </w:r>
      <w:r w:rsidR="00DB7786">
        <w:rPr>
          <w:noProof/>
        </w:rPr>
        <w:fldChar w:fldCharType="separate"/>
      </w:r>
      <w:r w:rsidR="00A62009">
        <w:rPr>
          <w:noProof/>
        </w:rPr>
        <w:t>6</w:t>
      </w:r>
      <w:r w:rsidR="00DB7786">
        <w:rPr>
          <w:noProof/>
        </w:rPr>
        <w:fldChar w:fldCharType="end"/>
      </w:r>
    </w:p>
    <w:p w:rsidR="00756609" w:rsidRDefault="00756609">
      <w:pPr>
        <w:pStyle w:val="TOC2"/>
        <w:tabs>
          <w:tab w:val="left" w:pos="880"/>
          <w:tab w:val="right" w:leader="dot" w:pos="863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High Voltage Power Supplies</w:t>
      </w:r>
      <w:r>
        <w:rPr>
          <w:noProof/>
        </w:rPr>
        <w:tab/>
      </w:r>
      <w:r w:rsidR="00E874BF">
        <w:rPr>
          <w:noProof/>
        </w:rPr>
        <w:t>7</w:t>
      </w:r>
    </w:p>
    <w:p w:rsidR="00756609" w:rsidRDefault="00756609">
      <w:pPr>
        <w:pStyle w:val="TOC2"/>
        <w:tabs>
          <w:tab w:val="left" w:pos="880"/>
          <w:tab w:val="right" w:leader="dot" w:pos="863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High Voltage Power Supply LOTO</w:t>
      </w:r>
      <w:r>
        <w:rPr>
          <w:noProof/>
        </w:rPr>
        <w:tab/>
      </w:r>
      <w:r w:rsidR="00DB7786">
        <w:rPr>
          <w:noProof/>
        </w:rPr>
        <w:fldChar w:fldCharType="begin"/>
      </w:r>
      <w:r>
        <w:rPr>
          <w:noProof/>
        </w:rPr>
        <w:instrText xml:space="preserve"> PAGEREF _Toc212358846 \h </w:instrText>
      </w:r>
      <w:r w:rsidR="00DB7786">
        <w:rPr>
          <w:noProof/>
        </w:rPr>
      </w:r>
      <w:r w:rsidR="00DB7786">
        <w:rPr>
          <w:noProof/>
        </w:rPr>
        <w:fldChar w:fldCharType="separate"/>
      </w:r>
      <w:r w:rsidR="00A62009">
        <w:rPr>
          <w:noProof/>
        </w:rPr>
        <w:t>7</w:t>
      </w:r>
      <w:r w:rsidR="00DB7786">
        <w:rPr>
          <w:noProof/>
        </w:rPr>
        <w:fldChar w:fldCharType="end"/>
      </w:r>
    </w:p>
    <w:p w:rsidR="00756609" w:rsidRDefault="00756609">
      <w:pPr>
        <w:pStyle w:val="TOC2"/>
        <w:tabs>
          <w:tab w:val="left" w:pos="880"/>
          <w:tab w:val="right" w:leader="dot" w:pos="8630"/>
        </w:tabs>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More on Ionizing Radiation</w:t>
      </w:r>
      <w:r>
        <w:rPr>
          <w:noProof/>
        </w:rPr>
        <w:tab/>
      </w:r>
      <w:r w:rsidR="00DB7786">
        <w:rPr>
          <w:noProof/>
        </w:rPr>
        <w:fldChar w:fldCharType="begin"/>
      </w:r>
      <w:r>
        <w:rPr>
          <w:noProof/>
        </w:rPr>
        <w:instrText xml:space="preserve"> PAGEREF _Toc212358847 \h </w:instrText>
      </w:r>
      <w:r w:rsidR="00DB7786">
        <w:rPr>
          <w:noProof/>
        </w:rPr>
      </w:r>
      <w:r w:rsidR="00DB7786">
        <w:rPr>
          <w:noProof/>
        </w:rPr>
        <w:fldChar w:fldCharType="separate"/>
      </w:r>
      <w:r w:rsidR="00A62009">
        <w:rPr>
          <w:noProof/>
        </w:rPr>
        <w:t>8</w:t>
      </w:r>
      <w:r w:rsidR="00DB7786">
        <w:rPr>
          <w:noProof/>
        </w:rPr>
        <w:fldChar w:fldCharType="end"/>
      </w:r>
    </w:p>
    <w:p w:rsidR="00756609" w:rsidRDefault="00756609">
      <w:pPr>
        <w:pStyle w:val="TOC1"/>
        <w:tabs>
          <w:tab w:val="left" w:pos="480"/>
          <w:tab w:val="right" w:leader="dot" w:pos="863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Staffing</w:t>
      </w:r>
      <w:r>
        <w:rPr>
          <w:noProof/>
        </w:rPr>
        <w:tab/>
      </w:r>
      <w:r w:rsidR="00DB7786">
        <w:rPr>
          <w:noProof/>
        </w:rPr>
        <w:fldChar w:fldCharType="begin"/>
      </w:r>
      <w:r>
        <w:rPr>
          <w:noProof/>
        </w:rPr>
        <w:instrText xml:space="preserve"> PAGEREF _Toc212358848 \h </w:instrText>
      </w:r>
      <w:r w:rsidR="00DB7786">
        <w:rPr>
          <w:noProof/>
        </w:rPr>
      </w:r>
      <w:r w:rsidR="00DB7786">
        <w:rPr>
          <w:noProof/>
        </w:rPr>
        <w:fldChar w:fldCharType="separate"/>
      </w:r>
      <w:r w:rsidR="00A62009">
        <w:rPr>
          <w:noProof/>
        </w:rPr>
        <w:t>9</w:t>
      </w:r>
      <w:r w:rsidR="00DB7786">
        <w:rPr>
          <w:noProof/>
        </w:rPr>
        <w:fldChar w:fldCharType="end"/>
      </w:r>
    </w:p>
    <w:p w:rsidR="00756609" w:rsidRDefault="00756609">
      <w:pPr>
        <w:pStyle w:val="TOC2"/>
        <w:tabs>
          <w:tab w:val="left" w:pos="880"/>
          <w:tab w:val="right" w:leader="dot" w:pos="863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Responsibility and Authority</w:t>
      </w:r>
      <w:r>
        <w:rPr>
          <w:noProof/>
        </w:rPr>
        <w:tab/>
      </w:r>
      <w:r w:rsidR="00DB7786">
        <w:rPr>
          <w:noProof/>
        </w:rPr>
        <w:fldChar w:fldCharType="begin"/>
      </w:r>
      <w:r>
        <w:rPr>
          <w:noProof/>
        </w:rPr>
        <w:instrText xml:space="preserve"> PAGEREF _Toc212358849 \h </w:instrText>
      </w:r>
      <w:r w:rsidR="00DB7786">
        <w:rPr>
          <w:noProof/>
        </w:rPr>
      </w:r>
      <w:r w:rsidR="00DB7786">
        <w:rPr>
          <w:noProof/>
        </w:rPr>
        <w:fldChar w:fldCharType="separate"/>
      </w:r>
      <w:r w:rsidR="00A62009">
        <w:rPr>
          <w:noProof/>
        </w:rPr>
        <w:t>9</w:t>
      </w:r>
      <w:r w:rsidR="00DB7786">
        <w:rPr>
          <w:noProof/>
        </w:rPr>
        <w:fldChar w:fldCharType="end"/>
      </w:r>
    </w:p>
    <w:p w:rsidR="00756609" w:rsidRDefault="00756609">
      <w:pPr>
        <w:pStyle w:val="TOC2"/>
        <w:tabs>
          <w:tab w:val="left" w:pos="880"/>
          <w:tab w:val="right" w:leader="dot" w:pos="863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Training and Qualifications</w:t>
      </w:r>
      <w:r>
        <w:rPr>
          <w:noProof/>
        </w:rPr>
        <w:tab/>
      </w:r>
      <w:r w:rsidR="00DB7786">
        <w:rPr>
          <w:noProof/>
        </w:rPr>
        <w:fldChar w:fldCharType="begin"/>
      </w:r>
      <w:r>
        <w:rPr>
          <w:noProof/>
        </w:rPr>
        <w:instrText xml:space="preserve"> PAGEREF _Toc212358850 \h </w:instrText>
      </w:r>
      <w:r w:rsidR="00DB7786">
        <w:rPr>
          <w:noProof/>
        </w:rPr>
      </w:r>
      <w:r w:rsidR="00DB7786">
        <w:rPr>
          <w:noProof/>
        </w:rPr>
        <w:fldChar w:fldCharType="separate"/>
      </w:r>
      <w:r w:rsidR="00A62009">
        <w:rPr>
          <w:noProof/>
        </w:rPr>
        <w:t>9</w:t>
      </w:r>
      <w:r w:rsidR="00DB7786">
        <w:rPr>
          <w:noProof/>
        </w:rPr>
        <w:fldChar w:fldCharType="end"/>
      </w:r>
    </w:p>
    <w:p w:rsidR="00756609" w:rsidRDefault="00756609">
      <w:pPr>
        <w:pStyle w:val="TOC1"/>
        <w:tabs>
          <w:tab w:val="left" w:pos="480"/>
          <w:tab w:val="right" w:leader="dot" w:pos="863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Safety Systems and Equipment</w:t>
      </w:r>
      <w:r>
        <w:rPr>
          <w:noProof/>
        </w:rPr>
        <w:tab/>
      </w:r>
      <w:r w:rsidR="00DB7786">
        <w:rPr>
          <w:noProof/>
        </w:rPr>
        <w:fldChar w:fldCharType="begin"/>
      </w:r>
      <w:r>
        <w:rPr>
          <w:noProof/>
        </w:rPr>
        <w:instrText xml:space="preserve"> PAGEREF _Toc212358852 \h </w:instrText>
      </w:r>
      <w:r w:rsidR="00DB7786">
        <w:rPr>
          <w:noProof/>
        </w:rPr>
      </w:r>
      <w:r w:rsidR="00DB7786">
        <w:rPr>
          <w:noProof/>
        </w:rPr>
        <w:fldChar w:fldCharType="separate"/>
      </w:r>
      <w:r w:rsidR="00A62009">
        <w:rPr>
          <w:noProof/>
        </w:rPr>
        <w:t>9</w:t>
      </w:r>
      <w:r w:rsidR="00DB7786">
        <w:rPr>
          <w:noProof/>
        </w:rPr>
        <w:fldChar w:fldCharType="end"/>
      </w:r>
    </w:p>
    <w:p w:rsidR="00756609" w:rsidRDefault="00756609">
      <w:pPr>
        <w:pStyle w:val="TOC1"/>
        <w:tabs>
          <w:tab w:val="left" w:pos="480"/>
          <w:tab w:val="right" w:leader="dot" w:pos="863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Procedures</w:t>
      </w:r>
      <w:r>
        <w:rPr>
          <w:noProof/>
        </w:rPr>
        <w:tab/>
      </w:r>
      <w:r w:rsidR="00DB7786">
        <w:rPr>
          <w:noProof/>
        </w:rPr>
        <w:fldChar w:fldCharType="begin"/>
      </w:r>
      <w:r>
        <w:rPr>
          <w:noProof/>
        </w:rPr>
        <w:instrText xml:space="preserve"> PAGEREF _Toc212358853 \h </w:instrText>
      </w:r>
      <w:r w:rsidR="00DB7786">
        <w:rPr>
          <w:noProof/>
        </w:rPr>
      </w:r>
      <w:r w:rsidR="00DB7786">
        <w:rPr>
          <w:noProof/>
        </w:rPr>
        <w:fldChar w:fldCharType="separate"/>
      </w:r>
      <w:r w:rsidR="00A62009">
        <w:rPr>
          <w:noProof/>
        </w:rPr>
        <w:t>10</w:t>
      </w:r>
      <w:r w:rsidR="00DB7786">
        <w:rPr>
          <w:noProof/>
        </w:rPr>
        <w:fldChar w:fldCharType="end"/>
      </w:r>
    </w:p>
    <w:p w:rsidR="00756609" w:rsidRDefault="00756609">
      <w:pPr>
        <w:pStyle w:val="TOC2"/>
        <w:tabs>
          <w:tab w:val="left" w:pos="880"/>
          <w:tab w:val="right" w:leader="dot" w:pos="863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Operating Procedures</w:t>
      </w:r>
      <w:r>
        <w:rPr>
          <w:noProof/>
        </w:rPr>
        <w:tab/>
      </w:r>
      <w:r w:rsidR="00DB7786">
        <w:rPr>
          <w:noProof/>
        </w:rPr>
        <w:fldChar w:fldCharType="begin"/>
      </w:r>
      <w:r>
        <w:rPr>
          <w:noProof/>
        </w:rPr>
        <w:instrText xml:space="preserve"> PAGEREF _Toc212358854 \h </w:instrText>
      </w:r>
      <w:r w:rsidR="00DB7786">
        <w:rPr>
          <w:noProof/>
        </w:rPr>
      </w:r>
      <w:r w:rsidR="00DB7786">
        <w:rPr>
          <w:noProof/>
        </w:rPr>
        <w:fldChar w:fldCharType="separate"/>
      </w:r>
      <w:r w:rsidR="00A62009">
        <w:rPr>
          <w:noProof/>
        </w:rPr>
        <w:t>10</w:t>
      </w:r>
      <w:r w:rsidR="00DB7786">
        <w:rPr>
          <w:noProof/>
        </w:rPr>
        <w:fldChar w:fldCharType="end"/>
      </w:r>
    </w:p>
    <w:p w:rsidR="00756609" w:rsidRDefault="00756609" w:rsidP="00A96C05">
      <w:pPr>
        <w:pStyle w:val="TOC3"/>
        <w:tabs>
          <w:tab w:val="left" w:pos="1260"/>
          <w:tab w:val="right" w:leader="dot" w:pos="8630"/>
        </w:tabs>
        <w:rPr>
          <w:noProof/>
        </w:rPr>
      </w:pPr>
      <w:r>
        <w:rPr>
          <w:noProof/>
        </w:rPr>
        <w:t>8.1.1.</w:t>
      </w:r>
      <w:r>
        <w:rPr>
          <w:rFonts w:asciiTheme="minorHAnsi" w:eastAsiaTheme="minorEastAsia" w:hAnsiTheme="minorHAnsi" w:cstheme="minorBidi"/>
          <w:noProof/>
          <w:sz w:val="22"/>
          <w:szCs w:val="22"/>
        </w:rPr>
        <w:tab/>
      </w:r>
      <w:r>
        <w:rPr>
          <w:noProof/>
        </w:rPr>
        <w:t>Sweeping the North Cave</w:t>
      </w:r>
      <w:r>
        <w:rPr>
          <w:noProof/>
        </w:rPr>
        <w:tab/>
      </w:r>
      <w:r w:rsidR="00DB7786">
        <w:rPr>
          <w:noProof/>
        </w:rPr>
        <w:fldChar w:fldCharType="begin"/>
      </w:r>
      <w:r>
        <w:rPr>
          <w:noProof/>
        </w:rPr>
        <w:instrText xml:space="preserve"> PAGEREF _Toc212358855 \h </w:instrText>
      </w:r>
      <w:r w:rsidR="00DB7786">
        <w:rPr>
          <w:noProof/>
        </w:rPr>
      </w:r>
      <w:r w:rsidR="00DB7786">
        <w:rPr>
          <w:noProof/>
        </w:rPr>
        <w:fldChar w:fldCharType="separate"/>
      </w:r>
      <w:r w:rsidR="00A62009">
        <w:rPr>
          <w:noProof/>
        </w:rPr>
        <w:t>10</w:t>
      </w:r>
      <w:r w:rsidR="00DB7786">
        <w:rPr>
          <w:noProof/>
        </w:rPr>
        <w:fldChar w:fldCharType="end"/>
      </w:r>
    </w:p>
    <w:p w:rsidR="00A96C05" w:rsidRDefault="00A96C05" w:rsidP="00A96C05">
      <w:pPr>
        <w:pStyle w:val="TOC3"/>
        <w:tabs>
          <w:tab w:val="left" w:pos="1260"/>
          <w:tab w:val="right" w:leader="dot" w:pos="8630"/>
        </w:tabs>
        <w:rPr>
          <w:noProof/>
        </w:rPr>
      </w:pPr>
      <w:r>
        <w:rPr>
          <w:rFonts w:eastAsiaTheme="minorEastAsia"/>
        </w:rPr>
        <w:t>8.1.2.</w:t>
      </w:r>
      <w:r>
        <w:rPr>
          <w:rFonts w:eastAsiaTheme="minorEastAsia"/>
        </w:rPr>
        <w:tab/>
      </w:r>
      <w:r>
        <w:rPr>
          <w:noProof/>
        </w:rPr>
        <w:t>Making Field Emission Measurements</w:t>
      </w:r>
      <w:r>
        <w:rPr>
          <w:noProof/>
        </w:rPr>
        <w:tab/>
        <w:t>10</w:t>
      </w:r>
    </w:p>
    <w:p w:rsidR="00A96C05" w:rsidRPr="00A96C05" w:rsidRDefault="00A96C05" w:rsidP="00A96C05">
      <w:pPr>
        <w:pStyle w:val="TOC3"/>
        <w:tabs>
          <w:tab w:val="left" w:pos="1260"/>
          <w:tab w:val="right" w:leader="dot" w:pos="8630"/>
        </w:tabs>
        <w:rPr>
          <w:noProof/>
        </w:rPr>
      </w:pPr>
      <w:r>
        <w:rPr>
          <w:rFonts w:eastAsiaTheme="minorEastAsia"/>
        </w:rPr>
        <w:t>8.1.3.</w:t>
      </w:r>
      <w:r w:rsidRPr="00A96C05">
        <w:rPr>
          <w:noProof/>
        </w:rPr>
        <w:t xml:space="preserve"> </w:t>
      </w:r>
      <w:r>
        <w:rPr>
          <w:noProof/>
        </w:rPr>
        <w:t xml:space="preserve">   Shutting Down</w:t>
      </w:r>
      <w:r>
        <w:rPr>
          <w:noProof/>
        </w:rPr>
        <w:tab/>
        <w:t>11</w:t>
      </w:r>
    </w:p>
    <w:p w:rsidR="00756609" w:rsidRDefault="00756609">
      <w:pPr>
        <w:pStyle w:val="TOC2"/>
        <w:tabs>
          <w:tab w:val="left" w:pos="880"/>
          <w:tab w:val="right" w:leader="dot" w:pos="863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Emergency procedures</w:t>
      </w:r>
      <w:r>
        <w:rPr>
          <w:noProof/>
        </w:rPr>
        <w:tab/>
      </w:r>
      <w:r w:rsidR="00A96C05">
        <w:rPr>
          <w:noProof/>
        </w:rPr>
        <w:t>11</w:t>
      </w:r>
    </w:p>
    <w:p w:rsidR="00756609" w:rsidRDefault="00756609">
      <w:pPr>
        <w:pStyle w:val="TOC1"/>
        <w:tabs>
          <w:tab w:val="right" w:leader="dot" w:pos="8630"/>
        </w:tabs>
        <w:rPr>
          <w:noProof/>
        </w:rPr>
      </w:pPr>
      <w:r>
        <w:rPr>
          <w:noProof/>
        </w:rPr>
        <w:t>Appendix A. Hazard Analysis and Controls</w:t>
      </w:r>
      <w:r>
        <w:rPr>
          <w:noProof/>
        </w:rPr>
        <w:tab/>
      </w:r>
      <w:r w:rsidR="00A96C05">
        <w:rPr>
          <w:noProof/>
        </w:rPr>
        <w:t>11</w:t>
      </w:r>
    </w:p>
    <w:p w:rsidR="00756609" w:rsidRDefault="00756609" w:rsidP="00756609">
      <w:pPr>
        <w:rPr>
          <w:rFonts w:eastAsiaTheme="minorEastAsia"/>
        </w:rPr>
      </w:pPr>
    </w:p>
    <w:p w:rsidR="00756609" w:rsidRPr="00756609" w:rsidRDefault="00756609" w:rsidP="00756609">
      <w:pPr>
        <w:rPr>
          <w:rFonts w:eastAsiaTheme="minorEastAsia"/>
        </w:rPr>
      </w:pPr>
    </w:p>
    <w:p w:rsidR="00F54CA0" w:rsidRPr="00F54CA0" w:rsidRDefault="00DB7786" w:rsidP="00F54CA0">
      <w:pPr>
        <w:pStyle w:val="Heading1"/>
      </w:pPr>
      <w:r>
        <w:fldChar w:fldCharType="end"/>
      </w:r>
      <w:bookmarkStart w:id="0" w:name="_Toc212358836"/>
      <w:r w:rsidR="005B720F">
        <w:t>Purpose</w:t>
      </w:r>
      <w:bookmarkEnd w:id="0"/>
    </w:p>
    <w:p w:rsidR="00DD3F51" w:rsidRPr="00DD3F51" w:rsidRDefault="00DD3F51" w:rsidP="00DD3F51"/>
    <w:p w:rsidR="00DD3F51" w:rsidRPr="00DD3F51" w:rsidRDefault="00E11DF3" w:rsidP="00DD3F51">
      <w:pPr>
        <w:jc w:val="both"/>
      </w:pPr>
      <w:r>
        <w:t>Field emission test stands are important tools used to evaluate the performance of cathode electrodes before installation within DC high voltage photoguns used at CEBAF and the Jefferson Lab FEL. A field emission test stand consists of a vacuum chamber with a ceramic insulator, an electrically isolated anode electrode and a high voltage power supply.  Test electrodes are mounted within the vacuum chamber, attached to the ceramic insulator and connected to a high voltage power supply.  Field emission current is collected by the anode electrode and measured as a function of applied voltage and field gradient, using a sensitive current meter</w:t>
      </w:r>
      <w:r w:rsidR="00DD3F51">
        <w:t>.</w:t>
      </w:r>
    </w:p>
    <w:p w:rsidR="00F54CA0" w:rsidRPr="00F54CA0" w:rsidRDefault="005B720F" w:rsidP="00F54CA0">
      <w:pPr>
        <w:pStyle w:val="Heading1"/>
      </w:pPr>
      <w:bookmarkStart w:id="1" w:name="_Toc212358837"/>
      <w:r>
        <w:t>Scope</w:t>
      </w:r>
      <w:bookmarkEnd w:id="1"/>
    </w:p>
    <w:p w:rsidR="00BD10AC" w:rsidRPr="00E11DF3" w:rsidRDefault="00E11DF3" w:rsidP="00E11DF3">
      <w:pPr>
        <w:jc w:val="both"/>
      </w:pPr>
      <w:bookmarkStart w:id="2" w:name="_Toc212357619"/>
      <w:bookmarkStart w:id="3" w:name="_Toc212358838"/>
      <w:r w:rsidRPr="00A9626C">
        <w:t>This SOP applies to field emission test stands located in the ITS North Cave only.</w:t>
      </w:r>
      <w:r>
        <w:t xml:space="preserve">  </w:t>
      </w:r>
      <w:r w:rsidR="0035209D">
        <w:t>Main</w:t>
      </w:r>
      <w:r w:rsidR="00BD10AC">
        <w:t xml:space="preserve"> hazards associated with field emission test stands</w:t>
      </w:r>
      <w:r w:rsidR="003921CA">
        <w:t xml:space="preserve"> are</w:t>
      </w:r>
      <w:r w:rsidR="00BD10AC">
        <w:t>:</w:t>
      </w:r>
      <w:bookmarkEnd w:id="2"/>
      <w:bookmarkEnd w:id="3"/>
      <w:r w:rsidR="005B720F" w:rsidRPr="00BD10AC">
        <w:t xml:space="preserve"> </w:t>
      </w:r>
    </w:p>
    <w:p w:rsidR="00BD10AC" w:rsidRPr="002B65CA" w:rsidRDefault="00BD10AC" w:rsidP="00BD10AC">
      <w:pPr>
        <w:numPr>
          <w:ilvl w:val="0"/>
          <w:numId w:val="12"/>
        </w:numPr>
        <w:jc w:val="both"/>
        <w:rPr>
          <w:b/>
          <w:sz w:val="28"/>
        </w:rPr>
      </w:pPr>
      <w:r>
        <w:t xml:space="preserve">X-rays produced when field-emitted electrons </w:t>
      </w:r>
      <w:r w:rsidR="003921CA">
        <w:t>s</w:t>
      </w:r>
      <w:r>
        <w:t>t</w:t>
      </w:r>
      <w:r w:rsidR="003921CA">
        <w:t>rike</w:t>
      </w:r>
      <w:r>
        <w:t xml:space="preserve"> the anode electrode or ot</w:t>
      </w:r>
      <w:r w:rsidR="003921CA">
        <w:t>her parts of the vacuum chamber and,</w:t>
      </w:r>
    </w:p>
    <w:p w:rsidR="00F22B48" w:rsidRPr="00F22B48" w:rsidRDefault="003921CA" w:rsidP="00F22B48">
      <w:pPr>
        <w:numPr>
          <w:ilvl w:val="0"/>
          <w:numId w:val="12"/>
        </w:numPr>
        <w:jc w:val="both"/>
        <w:rPr>
          <w:b/>
          <w:sz w:val="28"/>
        </w:rPr>
      </w:pPr>
      <w:r>
        <w:t xml:space="preserve">Electrocution associated with </w:t>
      </w:r>
      <w:r w:rsidR="00BD10AC">
        <w:t xml:space="preserve">power supplies </w:t>
      </w:r>
      <w:r>
        <w:t>used to achieve high voltage and field gradient.</w:t>
      </w:r>
    </w:p>
    <w:p w:rsidR="003921CA" w:rsidRDefault="003E2A30" w:rsidP="003921CA">
      <w:pPr>
        <w:pStyle w:val="Heading1"/>
        <w:numPr>
          <w:ilvl w:val="0"/>
          <w:numId w:val="0"/>
        </w:numPr>
        <w:jc w:val="both"/>
        <w:rPr>
          <w:rFonts w:ascii="Times New Roman" w:hAnsi="Times New Roman"/>
          <w:b w:val="0"/>
          <w:sz w:val="24"/>
          <w:szCs w:val="24"/>
        </w:rPr>
      </w:pPr>
      <w:bookmarkStart w:id="4" w:name="_Toc212357620"/>
      <w:bookmarkStart w:id="5" w:name="_Toc212358839"/>
      <w:r w:rsidRPr="003E2A30">
        <w:rPr>
          <w:rFonts w:ascii="Times New Roman" w:hAnsi="Times New Roman"/>
          <w:b w:val="0"/>
          <w:sz w:val="24"/>
          <w:szCs w:val="24"/>
        </w:rPr>
        <w:lastRenderedPageBreak/>
        <w:t xml:space="preserve">There are </w:t>
      </w:r>
      <w:r>
        <w:rPr>
          <w:rFonts w:ascii="Times New Roman" w:hAnsi="Times New Roman"/>
          <w:b w:val="0"/>
          <w:sz w:val="24"/>
          <w:szCs w:val="24"/>
        </w:rPr>
        <w:t xml:space="preserve">two (2) Field Emission </w:t>
      </w:r>
      <w:r w:rsidRPr="003E2A30">
        <w:rPr>
          <w:rFonts w:ascii="Times New Roman" w:hAnsi="Times New Roman"/>
          <w:b w:val="0"/>
          <w:sz w:val="24"/>
          <w:szCs w:val="24"/>
        </w:rPr>
        <w:t>Test St</w:t>
      </w:r>
      <w:r w:rsidR="00F621A6">
        <w:rPr>
          <w:rFonts w:ascii="Times New Roman" w:hAnsi="Times New Roman"/>
          <w:b w:val="0"/>
          <w:sz w:val="24"/>
          <w:szCs w:val="24"/>
        </w:rPr>
        <w:t xml:space="preserve">ands located in the North Cave and </w:t>
      </w:r>
      <w:r>
        <w:rPr>
          <w:rFonts w:ascii="Times New Roman" w:hAnsi="Times New Roman"/>
          <w:b w:val="0"/>
          <w:sz w:val="24"/>
          <w:szCs w:val="24"/>
        </w:rPr>
        <w:t xml:space="preserve">two (2) </w:t>
      </w:r>
      <w:r w:rsidR="00145513">
        <w:rPr>
          <w:rFonts w:ascii="Times New Roman" w:hAnsi="Times New Roman"/>
          <w:b w:val="0"/>
          <w:sz w:val="24"/>
          <w:szCs w:val="24"/>
        </w:rPr>
        <w:t xml:space="preserve">types of </w:t>
      </w:r>
      <w:r>
        <w:rPr>
          <w:rFonts w:ascii="Times New Roman" w:hAnsi="Times New Roman"/>
          <w:b w:val="0"/>
          <w:sz w:val="24"/>
          <w:szCs w:val="24"/>
        </w:rPr>
        <w:t>high voltage power supplies</w:t>
      </w:r>
      <w:r w:rsidR="003921CA">
        <w:rPr>
          <w:rFonts w:ascii="Times New Roman" w:hAnsi="Times New Roman"/>
          <w:b w:val="0"/>
          <w:sz w:val="24"/>
          <w:szCs w:val="24"/>
        </w:rPr>
        <w:t xml:space="preserve"> that can be attached to either test stand</w:t>
      </w:r>
      <w:r>
        <w:rPr>
          <w:rFonts w:ascii="Times New Roman" w:hAnsi="Times New Roman"/>
          <w:b w:val="0"/>
          <w:sz w:val="24"/>
          <w:szCs w:val="24"/>
        </w:rPr>
        <w:t>: a Glassman 125kV/16mA supply and a Spellman 225kV/30mA</w:t>
      </w:r>
      <w:r w:rsidR="00BD10AC">
        <w:rPr>
          <w:rFonts w:ascii="Times New Roman" w:hAnsi="Times New Roman"/>
          <w:b w:val="0"/>
          <w:sz w:val="24"/>
          <w:szCs w:val="24"/>
        </w:rPr>
        <w:t xml:space="preserve"> suppl</w:t>
      </w:r>
      <w:r w:rsidR="003921CA">
        <w:rPr>
          <w:rFonts w:ascii="Times New Roman" w:hAnsi="Times New Roman"/>
          <w:b w:val="0"/>
          <w:sz w:val="24"/>
          <w:szCs w:val="24"/>
        </w:rPr>
        <w:t xml:space="preserve">y.  </w:t>
      </w:r>
      <w:r w:rsidR="00E11DF3" w:rsidRPr="00E11DF3">
        <w:rPr>
          <w:rFonts w:ascii="Times New Roman" w:hAnsi="Times New Roman"/>
          <w:b w:val="0"/>
          <w:sz w:val="24"/>
          <w:szCs w:val="24"/>
        </w:rPr>
        <w:t>The Glassman 125kV supply is located inside the Injector Test Cave control room</w:t>
      </w:r>
      <w:r w:rsidR="005747C0">
        <w:rPr>
          <w:rFonts w:ascii="Times New Roman" w:hAnsi="Times New Roman"/>
          <w:b w:val="0"/>
          <w:sz w:val="24"/>
          <w:szCs w:val="24"/>
        </w:rPr>
        <w:t>, clearly lab</w:t>
      </w:r>
      <w:r w:rsidR="001C6A69">
        <w:rPr>
          <w:rFonts w:ascii="Times New Roman" w:hAnsi="Times New Roman"/>
          <w:b w:val="0"/>
          <w:sz w:val="24"/>
          <w:szCs w:val="24"/>
        </w:rPr>
        <w:t>eled inside electronics rack 02, and i</w:t>
      </w:r>
      <w:r w:rsidR="005747C0">
        <w:rPr>
          <w:rFonts w:ascii="Times New Roman" w:hAnsi="Times New Roman"/>
          <w:b w:val="0"/>
          <w:sz w:val="24"/>
          <w:szCs w:val="24"/>
        </w:rPr>
        <w:t>t</w:t>
      </w:r>
      <w:r w:rsidR="00E11DF3" w:rsidRPr="00E11DF3">
        <w:rPr>
          <w:rFonts w:ascii="Times New Roman" w:hAnsi="Times New Roman"/>
          <w:b w:val="0"/>
          <w:sz w:val="24"/>
          <w:szCs w:val="24"/>
        </w:rPr>
        <w:t xml:space="preserve"> is attached to the field emission test stand via</w:t>
      </w:r>
      <w:r w:rsidR="00E11DF3">
        <w:rPr>
          <w:rFonts w:ascii="Times New Roman" w:hAnsi="Times New Roman"/>
          <w:b w:val="0"/>
          <w:sz w:val="24"/>
          <w:szCs w:val="24"/>
        </w:rPr>
        <w:t xml:space="preserve"> </w:t>
      </w:r>
      <w:r w:rsidR="003921CA">
        <w:rPr>
          <w:rFonts w:ascii="Times New Roman" w:hAnsi="Times New Roman"/>
          <w:b w:val="0"/>
          <w:sz w:val="24"/>
          <w:szCs w:val="24"/>
        </w:rPr>
        <w:t xml:space="preserve">a long </w:t>
      </w:r>
      <w:r w:rsidR="00E11DF3">
        <w:rPr>
          <w:rFonts w:ascii="Times New Roman" w:hAnsi="Times New Roman"/>
          <w:b w:val="0"/>
          <w:sz w:val="24"/>
          <w:szCs w:val="24"/>
        </w:rPr>
        <w:t>high voltage cable.</w:t>
      </w:r>
      <w:r w:rsidR="003921CA">
        <w:rPr>
          <w:rFonts w:ascii="Times New Roman" w:hAnsi="Times New Roman"/>
          <w:b w:val="0"/>
          <w:sz w:val="24"/>
          <w:szCs w:val="24"/>
        </w:rPr>
        <w:t xml:space="preserve"> </w:t>
      </w:r>
      <w:r w:rsidR="00E11DF3">
        <w:rPr>
          <w:rFonts w:ascii="Times New Roman" w:hAnsi="Times New Roman"/>
          <w:b w:val="0"/>
          <w:sz w:val="24"/>
          <w:szCs w:val="24"/>
        </w:rPr>
        <w:t>This supply is</w:t>
      </w:r>
      <w:r w:rsidR="003921CA">
        <w:rPr>
          <w:rFonts w:ascii="Times New Roman" w:hAnsi="Times New Roman"/>
          <w:b w:val="0"/>
          <w:sz w:val="24"/>
          <w:szCs w:val="24"/>
        </w:rPr>
        <w:t xml:space="preserve"> operated manually by adjusting settings on the front panel</w:t>
      </w:r>
      <w:r w:rsidR="00F621A6">
        <w:rPr>
          <w:rFonts w:ascii="Times New Roman" w:hAnsi="Times New Roman"/>
          <w:b w:val="0"/>
          <w:sz w:val="24"/>
          <w:szCs w:val="24"/>
        </w:rPr>
        <w:t xml:space="preserve"> of the supply</w:t>
      </w:r>
      <w:r w:rsidR="003921CA">
        <w:rPr>
          <w:rFonts w:ascii="Times New Roman" w:hAnsi="Times New Roman"/>
          <w:b w:val="0"/>
          <w:sz w:val="24"/>
          <w:szCs w:val="24"/>
        </w:rPr>
        <w:t xml:space="preserve">.  The Spellman 225kV supply resides within the North Cave, near the test stands, and operated </w:t>
      </w:r>
      <w:r w:rsidR="005D24FF">
        <w:rPr>
          <w:rFonts w:ascii="Times New Roman" w:hAnsi="Times New Roman"/>
          <w:b w:val="0"/>
          <w:sz w:val="24"/>
          <w:szCs w:val="24"/>
        </w:rPr>
        <w:t xml:space="preserve">remotely using </w:t>
      </w:r>
      <w:r w:rsidR="00E6211C">
        <w:rPr>
          <w:rFonts w:ascii="Times New Roman" w:hAnsi="Times New Roman"/>
          <w:b w:val="0"/>
          <w:sz w:val="24"/>
          <w:szCs w:val="24"/>
        </w:rPr>
        <w:t xml:space="preserve">a </w:t>
      </w:r>
      <w:r w:rsidR="003921CA">
        <w:rPr>
          <w:rFonts w:ascii="Times New Roman" w:hAnsi="Times New Roman"/>
          <w:b w:val="0"/>
          <w:sz w:val="24"/>
          <w:szCs w:val="24"/>
        </w:rPr>
        <w:t>personal computer</w:t>
      </w:r>
      <w:r w:rsidR="00E11DF3">
        <w:rPr>
          <w:rFonts w:ascii="Times New Roman" w:hAnsi="Times New Roman"/>
          <w:b w:val="0"/>
          <w:sz w:val="24"/>
          <w:szCs w:val="24"/>
        </w:rPr>
        <w:t xml:space="preserve"> </w:t>
      </w:r>
      <w:r w:rsidR="005D24FF">
        <w:rPr>
          <w:rFonts w:ascii="Times New Roman" w:hAnsi="Times New Roman"/>
          <w:b w:val="0"/>
          <w:sz w:val="24"/>
          <w:szCs w:val="24"/>
        </w:rPr>
        <w:t>located inside the Test Cave Control Room</w:t>
      </w:r>
      <w:r w:rsidR="003921CA">
        <w:rPr>
          <w:rFonts w:ascii="Times New Roman" w:hAnsi="Times New Roman"/>
          <w:b w:val="0"/>
          <w:sz w:val="24"/>
          <w:szCs w:val="24"/>
        </w:rPr>
        <w:t xml:space="preserve">.  </w:t>
      </w:r>
      <w:r w:rsidR="00B9223E">
        <w:rPr>
          <w:rFonts w:ascii="Times New Roman" w:hAnsi="Times New Roman"/>
          <w:b w:val="0"/>
          <w:sz w:val="24"/>
          <w:szCs w:val="24"/>
        </w:rPr>
        <w:t xml:space="preserve">Operation of both high voltage power supplies and field emission test stands must be from the </w:t>
      </w:r>
      <w:r w:rsidR="005D24FF">
        <w:rPr>
          <w:rFonts w:ascii="Times New Roman" w:hAnsi="Times New Roman"/>
          <w:b w:val="0"/>
          <w:sz w:val="24"/>
          <w:szCs w:val="24"/>
        </w:rPr>
        <w:t>Test Cave Control R</w:t>
      </w:r>
      <w:r w:rsidR="00B9223E">
        <w:rPr>
          <w:rFonts w:ascii="Times New Roman" w:hAnsi="Times New Roman"/>
          <w:b w:val="0"/>
          <w:sz w:val="24"/>
          <w:szCs w:val="24"/>
        </w:rPr>
        <w:t>oom</w:t>
      </w:r>
      <w:r w:rsidR="005D24FF">
        <w:rPr>
          <w:rFonts w:ascii="Times New Roman" w:hAnsi="Times New Roman"/>
          <w:b w:val="0"/>
          <w:sz w:val="24"/>
          <w:szCs w:val="24"/>
        </w:rPr>
        <w:t>, for example; turning high voltage power supplies ON and adjusting voltage.  P</w:t>
      </w:r>
      <w:r w:rsidR="00E11DF3">
        <w:rPr>
          <w:rFonts w:ascii="Times New Roman" w:hAnsi="Times New Roman"/>
          <w:b w:val="0"/>
          <w:sz w:val="24"/>
          <w:szCs w:val="24"/>
        </w:rPr>
        <w:t xml:space="preserve">ersonnel cannot operate </w:t>
      </w:r>
      <w:r w:rsidR="00B9223E">
        <w:rPr>
          <w:rFonts w:ascii="Times New Roman" w:hAnsi="Times New Roman"/>
          <w:b w:val="0"/>
          <w:sz w:val="24"/>
          <w:szCs w:val="24"/>
        </w:rPr>
        <w:t>the high voltage power supplies or field emission test stands from off-site, although once powered ON, the test stands and power supplies can be left unattended</w:t>
      </w:r>
      <w:r w:rsidR="00E11DF3">
        <w:rPr>
          <w:rFonts w:ascii="Times New Roman" w:hAnsi="Times New Roman"/>
          <w:b w:val="0"/>
          <w:sz w:val="24"/>
          <w:szCs w:val="24"/>
        </w:rPr>
        <w:t xml:space="preserve">.  </w:t>
      </w:r>
      <w:r w:rsidR="003921CA">
        <w:rPr>
          <w:rFonts w:ascii="Times New Roman" w:hAnsi="Times New Roman"/>
          <w:b w:val="0"/>
          <w:sz w:val="24"/>
          <w:szCs w:val="24"/>
        </w:rPr>
        <w:t>Safety considerations for each supply will described separately below.</w:t>
      </w:r>
      <w:bookmarkEnd w:id="4"/>
      <w:bookmarkEnd w:id="5"/>
      <w:r w:rsidR="003921CA">
        <w:rPr>
          <w:rFonts w:ascii="Times New Roman" w:hAnsi="Times New Roman"/>
          <w:b w:val="0"/>
          <w:sz w:val="24"/>
          <w:szCs w:val="24"/>
        </w:rPr>
        <w:t xml:space="preserve">  </w:t>
      </w:r>
    </w:p>
    <w:p w:rsidR="005B720F" w:rsidRDefault="005B720F" w:rsidP="003E2A30">
      <w:pPr>
        <w:pStyle w:val="Heading1"/>
      </w:pPr>
      <w:bookmarkStart w:id="6" w:name="_Toc212358840"/>
      <w:r>
        <w:t>Background</w:t>
      </w:r>
      <w:bookmarkEnd w:id="6"/>
    </w:p>
    <w:p w:rsidR="00EB2322" w:rsidRDefault="00EB2322" w:rsidP="003921CA"/>
    <w:p w:rsidR="00EB2322" w:rsidRDefault="00EB2322" w:rsidP="00CB323C">
      <w:pPr>
        <w:jc w:val="both"/>
      </w:pPr>
      <w:r>
        <w:t>Field emission test stands look similar to DC high voltage photoguns</w:t>
      </w:r>
      <w:r w:rsidR="00CB323C">
        <w:t xml:space="preserve">, </w:t>
      </w:r>
      <w:r w:rsidR="00563DA2">
        <w:t xml:space="preserve">but unlike DC high voltage photoguns, </w:t>
      </w:r>
      <w:r w:rsidR="003B250D">
        <w:t xml:space="preserve">electron beam is not </w:t>
      </w:r>
      <w:r w:rsidR="003B250D" w:rsidRPr="003B250D">
        <w:rPr>
          <w:b/>
          <w:i/>
        </w:rPr>
        <w:t>intentionally</w:t>
      </w:r>
      <w:r w:rsidR="003B250D">
        <w:t xml:space="preserve"> created</w:t>
      </w:r>
      <w:r w:rsidR="00F621A6">
        <w:t xml:space="preserve"> </w:t>
      </w:r>
      <w:r w:rsidR="00563DA2">
        <w:t xml:space="preserve">(there is no activated photocathode inside the tests stand, there is no drive laser, and field emitted electrons are not delivered to a </w:t>
      </w:r>
      <w:proofErr w:type="spellStart"/>
      <w:r w:rsidR="00563DA2">
        <w:t>beamline</w:t>
      </w:r>
      <w:proofErr w:type="spellEnd"/>
      <w:r w:rsidR="00563DA2">
        <w:t>)</w:t>
      </w:r>
      <w:r w:rsidR="003B250D">
        <w:t>.  T</w:t>
      </w:r>
      <w:r>
        <w:t xml:space="preserve">he </w:t>
      </w:r>
      <w:r w:rsidRPr="00EB2322">
        <w:rPr>
          <w:b/>
          <w:i/>
        </w:rPr>
        <w:t>perfect</w:t>
      </w:r>
      <w:r>
        <w:t xml:space="preserve"> cathode electrode exhibits no field emission</w:t>
      </w:r>
      <w:r w:rsidR="00563DA2">
        <w:t xml:space="preserve"> – we would measure zero current at the anode, and we would generate no x-rays</w:t>
      </w:r>
      <w:r>
        <w:t>.  However</w:t>
      </w:r>
      <w:r w:rsidR="00CB323C">
        <w:t>,</w:t>
      </w:r>
      <w:r>
        <w:t xml:space="preserve"> typical electrodes </w:t>
      </w:r>
      <w:r w:rsidR="00563DA2">
        <w:t xml:space="preserve">can easily </w:t>
      </w:r>
      <w:r w:rsidR="009026DB">
        <w:t xml:space="preserve">produce </w:t>
      </w:r>
      <w:proofErr w:type="spellStart"/>
      <w:r w:rsidR="00563DA2">
        <w:t>n</w:t>
      </w:r>
      <w:r w:rsidR="00F621A6">
        <w:t>As</w:t>
      </w:r>
      <w:proofErr w:type="spellEnd"/>
      <w:r w:rsidR="00563DA2">
        <w:t xml:space="preserve"> of field emission </w:t>
      </w:r>
      <w:r w:rsidR="00FD6D3F">
        <w:t>at voltages ~ 100</w:t>
      </w:r>
      <w:r>
        <w:t>kV and field gradients &gt; 10MV/m, values</w:t>
      </w:r>
      <w:r w:rsidR="003B250D">
        <w:t xml:space="preserve"> that are</w:t>
      </w:r>
      <w:r>
        <w:t xml:space="preserve"> w</w:t>
      </w:r>
      <w:r w:rsidR="00CB323C">
        <w:t>e</w:t>
      </w:r>
      <w:r>
        <w:t xml:space="preserve">ll within reach of our test stands.  </w:t>
      </w:r>
      <w:r w:rsidR="00F621A6">
        <w:t xml:space="preserve">For all cathode electrodes, settings would be adjusted to limit field emission current to approximately 1uA. </w:t>
      </w:r>
    </w:p>
    <w:p w:rsidR="00EB2322" w:rsidRDefault="00EB2322" w:rsidP="003921CA"/>
    <w:p w:rsidR="005B720F" w:rsidRDefault="005B720F">
      <w:pPr>
        <w:pStyle w:val="Heading1"/>
      </w:pPr>
      <w:bookmarkStart w:id="7" w:name="_Toc212358841"/>
      <w:r>
        <w:t>References</w:t>
      </w:r>
      <w:bookmarkEnd w:id="7"/>
    </w:p>
    <w:p w:rsidR="005D24FF" w:rsidRDefault="005D24FF" w:rsidP="005D24FF">
      <w:pPr>
        <w:numPr>
          <w:ilvl w:val="0"/>
          <w:numId w:val="11"/>
        </w:numPr>
      </w:pPr>
      <w:r>
        <w:t xml:space="preserve">JLab EH&amp;S Manual Chapter 6110, </w:t>
      </w:r>
      <w:hyperlink r:id="rId9" w:history="1">
        <w:r w:rsidRPr="00010758">
          <w:t>Lock, Tag and Try (Lockout/</w:t>
        </w:r>
        <w:proofErr w:type="spellStart"/>
        <w:r w:rsidRPr="00010758">
          <w:t>Tagout</w:t>
        </w:r>
        <w:proofErr w:type="spellEnd"/>
        <w:r w:rsidRPr="00010758">
          <w:t>)</w:t>
        </w:r>
      </w:hyperlink>
    </w:p>
    <w:p w:rsidR="005D24FF" w:rsidRDefault="005D24FF" w:rsidP="005D24FF">
      <w:pPr>
        <w:numPr>
          <w:ilvl w:val="0"/>
          <w:numId w:val="11"/>
        </w:numPr>
      </w:pPr>
      <w:r>
        <w:t xml:space="preserve">JLab EH&amp;S Manual Chapter 6111, </w:t>
      </w:r>
      <w:hyperlink r:id="rId10" w:history="1">
        <w:r w:rsidRPr="00010758">
          <w:t>Administrative Configuration Control Using Locks and Tags</w:t>
        </w:r>
      </w:hyperlink>
    </w:p>
    <w:p w:rsidR="005D24FF" w:rsidRDefault="005D24FF" w:rsidP="005D24FF">
      <w:pPr>
        <w:numPr>
          <w:ilvl w:val="0"/>
          <w:numId w:val="11"/>
        </w:numPr>
      </w:pPr>
      <w:r>
        <w:t>JLab EH&amp;S Manual Chapter 6200, Electrical Safety</w:t>
      </w:r>
    </w:p>
    <w:p w:rsidR="005D24FF" w:rsidRDefault="005D24FF" w:rsidP="005D24FF">
      <w:pPr>
        <w:numPr>
          <w:ilvl w:val="0"/>
          <w:numId w:val="11"/>
        </w:numPr>
      </w:pPr>
      <w:r>
        <w:t>JLab EH&amp;S Manual Chapter 6310, Ionizing Radiation Protection</w:t>
      </w:r>
    </w:p>
    <w:p w:rsidR="005D24FF" w:rsidRDefault="005D24FF" w:rsidP="005D24FF">
      <w:pPr>
        <w:numPr>
          <w:ilvl w:val="0"/>
          <w:numId w:val="11"/>
        </w:numPr>
      </w:pPr>
      <w:r>
        <w:t>JLab EH&amp;S Manual Chapter 3210, Hazard Identification and Characterization</w:t>
      </w:r>
    </w:p>
    <w:p w:rsidR="006854AB" w:rsidRDefault="005D24FF" w:rsidP="006854AB">
      <w:pPr>
        <w:numPr>
          <w:ilvl w:val="0"/>
          <w:numId w:val="11"/>
        </w:numPr>
      </w:pPr>
      <w:r>
        <w:t>JLab EH&amp;S Manual Chapter 3510, Emergency Management Plan</w:t>
      </w:r>
    </w:p>
    <w:p w:rsidR="005D24FF" w:rsidRDefault="00DB7786" w:rsidP="006854AB">
      <w:pPr>
        <w:numPr>
          <w:ilvl w:val="0"/>
          <w:numId w:val="11"/>
        </w:numPr>
      </w:pPr>
      <w:hyperlink r:id="rId11" w:history="1">
        <w:r w:rsidR="006854AB" w:rsidRPr="006854AB">
          <w:rPr>
            <w:rStyle w:val="Hyperlink"/>
            <w:rFonts w:ascii="Cambria" w:hAnsi="Cambria"/>
          </w:rPr>
          <w:t>ACC-10002.120-OSP</w:t>
        </w:r>
      </w:hyperlink>
      <w:r w:rsidR="005D24FF">
        <w:t xml:space="preserve"> </w:t>
      </w:r>
      <w:r w:rsidR="006854AB" w:rsidRPr="006854AB">
        <w:rPr>
          <w:rFonts w:ascii="Cambria" w:hAnsi="Cambria"/>
          <w:color w:val="000000"/>
        </w:rPr>
        <w:t>Facility Safety Overview</w:t>
      </w:r>
      <w:r w:rsidR="006854AB">
        <w:rPr>
          <w:rFonts w:ascii="Cambria" w:hAnsi="Cambria"/>
          <w:color w:val="000000"/>
        </w:rPr>
        <w:t>, written for Source Lab EEL 118, but applicable for Injector Test Cave</w:t>
      </w:r>
    </w:p>
    <w:p w:rsidR="00CC1D53" w:rsidRDefault="00DB7786" w:rsidP="005D24FF">
      <w:pPr>
        <w:numPr>
          <w:ilvl w:val="0"/>
          <w:numId w:val="11"/>
        </w:numPr>
      </w:pPr>
      <w:hyperlink r:id="rId12" w:history="1">
        <w:r w:rsidR="006854AB">
          <w:rPr>
            <w:rStyle w:val="Hyperlink"/>
            <w:rFonts w:ascii="Cambria" w:hAnsi="Cambria"/>
          </w:rPr>
          <w:t>A-09-003-SOP</w:t>
        </w:r>
      </w:hyperlink>
      <w:r w:rsidR="00D01841">
        <w:t xml:space="preserve">: </w:t>
      </w:r>
      <w:r w:rsidR="005D24FF">
        <w:t xml:space="preserve"> ITS South Cave </w:t>
      </w:r>
      <w:proofErr w:type="spellStart"/>
      <w:r w:rsidR="005D24FF">
        <w:t>Photogun</w:t>
      </w:r>
      <w:proofErr w:type="spellEnd"/>
      <w:r w:rsidR="005D24FF">
        <w:t xml:space="preserve"> Operations</w:t>
      </w:r>
      <w:r w:rsidR="00A653C3">
        <w:t xml:space="preserve"> </w:t>
      </w:r>
    </w:p>
    <w:p w:rsidR="005B720F" w:rsidRDefault="005B720F">
      <w:pPr>
        <w:pStyle w:val="Heading1"/>
      </w:pPr>
      <w:bookmarkStart w:id="8" w:name="_Toc212358842"/>
      <w:r>
        <w:t>Overview</w:t>
      </w:r>
      <w:bookmarkEnd w:id="8"/>
    </w:p>
    <w:p w:rsidR="005B720F" w:rsidRDefault="005B720F">
      <w:pPr>
        <w:pStyle w:val="Heading2"/>
      </w:pPr>
      <w:bookmarkStart w:id="9" w:name="_Toc212358843"/>
      <w:r>
        <w:t>Facility/System Description</w:t>
      </w:r>
      <w:r w:rsidR="00F22B48">
        <w:t xml:space="preserve"> - Layout</w:t>
      </w:r>
      <w:bookmarkEnd w:id="9"/>
    </w:p>
    <w:p w:rsidR="00782DD9" w:rsidRDefault="00782DD9" w:rsidP="00782DD9"/>
    <w:p w:rsidR="00C41723" w:rsidRDefault="00A7376E" w:rsidP="008B6558">
      <w:pPr>
        <w:jc w:val="both"/>
      </w:pPr>
      <w:r>
        <w:t xml:space="preserve">The Injector Test Cave </w:t>
      </w:r>
      <w:r w:rsidR="0094749E">
        <w:t>walls and ceiling are</w:t>
      </w:r>
      <w:r w:rsidR="00C41723">
        <w:t xml:space="preserve"> constructed of thick concrete block.  </w:t>
      </w:r>
      <w:r w:rsidR="0094749E">
        <w:t>The Test Cave</w:t>
      </w:r>
      <w:r w:rsidR="00C41723">
        <w:t xml:space="preserve"> </w:t>
      </w:r>
      <w:r>
        <w:t>consists of two workspaces separated by a lead-lined wall</w:t>
      </w:r>
      <w:r w:rsidR="00782DD9">
        <w:t xml:space="preserve"> </w:t>
      </w:r>
      <w:r w:rsidR="009C25D0">
        <w:t xml:space="preserve">and door </w:t>
      </w:r>
      <w:r w:rsidR="00782DD9">
        <w:t xml:space="preserve">(see </w:t>
      </w:r>
      <w:r w:rsidR="00A653C3">
        <w:lastRenderedPageBreak/>
        <w:t>F</w:t>
      </w:r>
      <w:r w:rsidR="00782DD9">
        <w:t xml:space="preserve">igure1 below).  </w:t>
      </w:r>
      <w:r>
        <w:t xml:space="preserve">The North Cave contains field emission test stands </w:t>
      </w:r>
      <w:r w:rsidR="00A653C3">
        <w:t xml:space="preserve">(Figures 2 and 3) </w:t>
      </w:r>
      <w:r>
        <w:t xml:space="preserve">and the South Cave contains a DC high voltage </w:t>
      </w:r>
      <w:proofErr w:type="spellStart"/>
      <w:r>
        <w:t>photogun</w:t>
      </w:r>
      <w:proofErr w:type="spellEnd"/>
      <w:r>
        <w:t xml:space="preserve"> and </w:t>
      </w:r>
      <w:proofErr w:type="spellStart"/>
      <w:r>
        <w:t>beamline</w:t>
      </w:r>
      <w:proofErr w:type="spellEnd"/>
      <w:r>
        <w:t xml:space="preserve"> (separate SOP</w:t>
      </w:r>
      <w:r w:rsidR="005D24FF">
        <w:t>,</w:t>
      </w:r>
      <w:r w:rsidR="005D24FF" w:rsidRPr="005D24FF">
        <w:t xml:space="preserve"> </w:t>
      </w:r>
      <w:r w:rsidR="005D24FF">
        <w:t xml:space="preserve">ref </w:t>
      </w:r>
      <w:hyperlink r:id="rId13" w:history="1">
        <w:r w:rsidR="006854AB">
          <w:rPr>
            <w:rStyle w:val="Hyperlink"/>
            <w:rFonts w:ascii="Cambria" w:hAnsi="Cambria"/>
          </w:rPr>
          <w:t>A-09-003-SOP</w:t>
        </w:r>
      </w:hyperlink>
      <w:r>
        <w:t xml:space="preserve">).  No one can be inside the North Cave when high voltage is applied to the field emission test stands.  Similarly, no one can be inside the South Cave when high voltage is applied to the DC high voltage </w:t>
      </w:r>
      <w:proofErr w:type="spellStart"/>
      <w:r>
        <w:t>photogun</w:t>
      </w:r>
      <w:proofErr w:type="spellEnd"/>
      <w:r>
        <w:t>.  However, the lead-lined wall</w:t>
      </w:r>
      <w:r w:rsidR="009C25D0">
        <w:t xml:space="preserve"> and door</w:t>
      </w:r>
      <w:r>
        <w:t xml:space="preserve"> provides adequate radiation shielding to allow occupancy of the adjacent workspace while high voltage measurements are made in the neighboring workspace (more below). </w:t>
      </w:r>
      <w:r w:rsidR="00C41723">
        <w:t xml:space="preserve"> </w:t>
      </w:r>
    </w:p>
    <w:p w:rsidR="00C41723" w:rsidRDefault="00C41723" w:rsidP="008B6558">
      <w:pPr>
        <w:jc w:val="both"/>
      </w:pPr>
    </w:p>
    <w:p w:rsidR="00782DD9" w:rsidRDefault="00C41723" w:rsidP="008B6558">
      <w:pPr>
        <w:jc w:val="both"/>
      </w:pPr>
      <w:r>
        <w:t>The s</w:t>
      </w:r>
      <w:r w:rsidR="00A7376E">
        <w:t>ystem operator of the field emission tes</w:t>
      </w:r>
      <w:r>
        <w:t xml:space="preserve">t stands makes measurements from the Test Cave Control Room adjacent to the Test Cave.  </w:t>
      </w:r>
      <w:r w:rsidR="00CC7453">
        <w:t xml:space="preserve">The Glassman 125kV power supply is located inside the Control Room, and is operated by adjusting dials on the front panel.  The Spellman 225kV power supply is located inside the North Cave, and is operated remotely using a personal computer.   Different protocols </w:t>
      </w:r>
      <w:r>
        <w:t xml:space="preserve">(described below) </w:t>
      </w:r>
      <w:r w:rsidR="00CC7453">
        <w:t xml:space="preserve">are used to guarantee the power supplies are OFF before re-entering the North Cave.  </w:t>
      </w:r>
      <w:r w:rsidR="001C6A69">
        <w:t xml:space="preserve"> </w:t>
      </w:r>
      <w:r w:rsidR="00085A2C">
        <w:t>Note</w:t>
      </w:r>
      <w:proofErr w:type="gramStart"/>
      <w:r w:rsidR="00085A2C">
        <w:t>,</w:t>
      </w:r>
      <w:proofErr w:type="gramEnd"/>
      <w:r w:rsidR="00085A2C">
        <w:t xml:space="preserve"> there are a</w:t>
      </w:r>
      <w:r w:rsidR="001C6A69">
        <w:t xml:space="preserve">dditional high voltage power supplies </w:t>
      </w:r>
      <w:r w:rsidR="00085A2C">
        <w:t xml:space="preserve">inside the Control Room that are </w:t>
      </w:r>
      <w:r w:rsidR="001C6A69">
        <w:t>used to conduct experiments in the South Cave.</w:t>
      </w:r>
      <w:r w:rsidR="00085A2C">
        <w:t xml:space="preserve"> These are described in the ITS South Cave </w:t>
      </w:r>
      <w:proofErr w:type="spellStart"/>
      <w:r w:rsidR="00085A2C">
        <w:t>Photogun</w:t>
      </w:r>
      <w:proofErr w:type="spellEnd"/>
      <w:r w:rsidR="00085A2C">
        <w:t xml:space="preserve"> Operations SOP, which can be found in the Control Room.</w:t>
      </w:r>
    </w:p>
    <w:p w:rsidR="005747C0" w:rsidRDefault="005747C0" w:rsidP="008B6558">
      <w:pPr>
        <w:jc w:val="both"/>
      </w:pPr>
    </w:p>
    <w:p w:rsidR="005747C0" w:rsidRDefault="005747C0" w:rsidP="008B6558">
      <w:pPr>
        <w:jc w:val="both"/>
      </w:pPr>
      <w:r>
        <w:t xml:space="preserve">Power to </w:t>
      </w:r>
      <w:r w:rsidR="00BB4918">
        <w:t>ALL</w:t>
      </w:r>
      <w:r>
        <w:t xml:space="preserve"> high voltage power supplies </w:t>
      </w:r>
      <w:r w:rsidR="001C6A69">
        <w:t xml:space="preserve">(for North and South Caves) </w:t>
      </w:r>
      <w:r>
        <w:t xml:space="preserve">can be removed by setting a </w:t>
      </w:r>
      <w:r w:rsidR="00A21819">
        <w:t xml:space="preserve">single, common </w:t>
      </w:r>
      <w:r>
        <w:t xml:space="preserve">knife switch breaker to OFF – this breaker is located on a wall inside the North Cave, as shown in Figure 1. </w:t>
      </w:r>
      <w:r w:rsidR="00A21819">
        <w:t xml:space="preserve">  </w:t>
      </w:r>
      <w:r>
        <w:t xml:space="preserve">Additional knife switch breakers located inside the Control Room are used to </w:t>
      </w:r>
      <w:r w:rsidR="00A21819">
        <w:t>remove AC power from</w:t>
      </w:r>
      <w:r>
        <w:t xml:space="preserve"> </w:t>
      </w:r>
      <w:r w:rsidR="00A21819">
        <w:t>individual</w:t>
      </w:r>
      <w:r>
        <w:t xml:space="preserve"> high voltage power supplies. </w:t>
      </w:r>
      <w:r w:rsidR="00A21819">
        <w:t xml:space="preserve"> </w:t>
      </w:r>
      <w:r>
        <w:t xml:space="preserve"> </w:t>
      </w:r>
    </w:p>
    <w:p w:rsidR="00C41723" w:rsidRDefault="00C41723" w:rsidP="008B6558">
      <w:pPr>
        <w:jc w:val="both"/>
      </w:pPr>
    </w:p>
    <w:p w:rsidR="00782DD9" w:rsidRDefault="005747C0" w:rsidP="00C41723">
      <w:pPr>
        <w:jc w:val="center"/>
      </w:pPr>
      <w:r w:rsidRPr="005747C0">
        <w:rPr>
          <w:noProof/>
        </w:rPr>
        <w:drawing>
          <wp:inline distT="0" distB="0" distL="0" distR="0">
            <wp:extent cx="5486400" cy="3621845"/>
            <wp:effectExtent l="0" t="0" r="0" b="0"/>
            <wp:docPr id="6"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15927" cy="5093732"/>
                      <a:chOff x="762000" y="685800"/>
                      <a:chExt cx="7715927" cy="5093732"/>
                    </a:xfrm>
                  </a:grpSpPr>
                  <a:grpSp>
                    <a:nvGrpSpPr>
                      <a:cNvPr id="95" name="Group 94"/>
                      <a:cNvGrpSpPr/>
                    </a:nvGrpSpPr>
                    <a:grpSpPr>
                      <a:xfrm>
                        <a:off x="762000" y="685800"/>
                        <a:ext cx="7715927" cy="5093732"/>
                        <a:chOff x="762000" y="685800"/>
                        <a:chExt cx="7715927" cy="5093732"/>
                      </a:xfrm>
                    </a:grpSpPr>
                    <a:grpSp>
                      <a:nvGrpSpPr>
                        <a:cNvPr id="3" name="Group 88"/>
                        <a:cNvGrpSpPr/>
                      </a:nvGrpSpPr>
                      <a:grpSpPr>
                        <a:xfrm>
                          <a:off x="762000" y="685800"/>
                          <a:ext cx="7715927" cy="5093732"/>
                          <a:chOff x="762000" y="685800"/>
                          <a:chExt cx="7715927" cy="5093732"/>
                        </a:xfrm>
                      </a:grpSpPr>
                      <a:sp>
                        <a:nvSpPr>
                          <a:cNvPr id="4" name="Rectangle 3"/>
                          <a:cNvSpPr/>
                        </a:nvSpPr>
                        <a:spPr>
                          <a:xfrm>
                            <a:off x="838200" y="990600"/>
                            <a:ext cx="7620000" cy="2286000"/>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100</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Connector 5"/>
                          <a:cNvCxnSpPr/>
                        </a:nvCxnSpPr>
                        <a:spPr>
                          <a:xfrm rot="5400000">
                            <a:off x="3505994" y="2132806"/>
                            <a:ext cx="2286000" cy="1588"/>
                          </a:xfrm>
                          <a:prstGeom prst="line">
                            <a:avLst/>
                          </a:prstGeom>
                          <a:ln/>
                        </a:spPr>
                        <a:style>
                          <a:lnRef idx="2">
                            <a:schemeClr val="accent1"/>
                          </a:lnRef>
                          <a:fillRef idx="0">
                            <a:schemeClr val="accent1"/>
                          </a:fillRef>
                          <a:effectRef idx="1">
                            <a:schemeClr val="accent1"/>
                          </a:effectRef>
                          <a:fontRef idx="minor">
                            <a:schemeClr val="tx1"/>
                          </a:fontRef>
                        </a:style>
                      </a:cxnSp>
                      <a:cxnSp>
                        <a:nvCxnSpPr>
                          <a:cNvPr id="8" name="Straight Connector 7"/>
                          <a:cNvCxnSpPr/>
                        </a:nvCxnSpPr>
                        <a:spPr>
                          <a:xfrm rot="5400000" flipH="1" flipV="1">
                            <a:off x="990600" y="3048000"/>
                            <a:ext cx="228600" cy="228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rot="16200000" flipV="1">
                            <a:off x="1371600" y="3048000"/>
                            <a:ext cx="228600" cy="228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rot="5400000" flipH="1" flipV="1">
                            <a:off x="1219200" y="2667000"/>
                            <a:ext cx="1219200" cy="1588"/>
                          </a:xfrm>
                          <a:prstGeom prst="line">
                            <a:avLst/>
                          </a:prstGeom>
                        </a:spPr>
                        <a:style>
                          <a:lnRef idx="2">
                            <a:schemeClr val="dk1"/>
                          </a:lnRef>
                          <a:fillRef idx="0">
                            <a:schemeClr val="dk1"/>
                          </a:fillRef>
                          <a:effectRef idx="1">
                            <a:schemeClr val="dk1"/>
                          </a:effectRef>
                          <a:fontRef idx="minor">
                            <a:schemeClr val="tx1"/>
                          </a:fontRef>
                        </a:style>
                      </a:cxnSp>
                      <a:cxnSp>
                        <a:nvCxnSpPr>
                          <a:cNvPr id="13" name="Straight Connector 12"/>
                          <a:cNvCxnSpPr/>
                        </a:nvCxnSpPr>
                        <a:spPr>
                          <a:xfrm rot="16200000" flipH="1">
                            <a:off x="1447800" y="2438400"/>
                            <a:ext cx="1219200" cy="457200"/>
                          </a:xfrm>
                          <a:prstGeom prst="line">
                            <a:avLst/>
                          </a:prstGeom>
                        </a:spPr>
                        <a:style>
                          <a:lnRef idx="2">
                            <a:schemeClr val="dk1"/>
                          </a:lnRef>
                          <a:fillRef idx="0">
                            <a:schemeClr val="dk1"/>
                          </a:fillRef>
                          <a:effectRef idx="1">
                            <a:schemeClr val="dk1"/>
                          </a:effectRef>
                          <a:fontRef idx="minor">
                            <a:schemeClr val="tx1"/>
                          </a:fontRef>
                        </a:style>
                      </a:cxnSp>
                      <a:sp>
                        <a:nvSpPr>
                          <a:cNvPr id="14" name="Rectangle 13"/>
                          <a:cNvSpPr/>
                        </a:nvSpPr>
                        <a:spPr>
                          <a:xfrm>
                            <a:off x="2438400" y="2133600"/>
                            <a:ext cx="5334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3962400" y="2133600"/>
                            <a:ext cx="5334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 name="Straight Connector 16"/>
                          <a:cNvCxnSpPr/>
                        </a:nvCxnSpPr>
                        <a:spPr>
                          <a:xfrm rot="5400000">
                            <a:off x="4267200" y="1447800"/>
                            <a:ext cx="533400" cy="228600"/>
                          </a:xfrm>
                          <a:prstGeom prst="line">
                            <a:avLst/>
                          </a:prstGeom>
                        </a:spPr>
                        <a:style>
                          <a:lnRef idx="1">
                            <a:schemeClr val="accent1"/>
                          </a:lnRef>
                          <a:fillRef idx="0">
                            <a:schemeClr val="accent1"/>
                          </a:fillRef>
                          <a:effectRef idx="0">
                            <a:schemeClr val="accent1"/>
                          </a:effectRef>
                          <a:fontRef idx="minor">
                            <a:schemeClr val="tx1"/>
                          </a:fontRef>
                        </a:style>
                      </a:cxnSp>
                      <a:sp>
                        <a:nvSpPr>
                          <a:cNvPr id="18" name="Rectangle 17"/>
                          <a:cNvSpPr/>
                        </a:nvSpPr>
                        <a:spPr>
                          <a:xfrm>
                            <a:off x="3962400" y="2971800"/>
                            <a:ext cx="533400" cy="304800"/>
                          </a:xfrm>
                          <a:prstGeom prst="rect">
                            <a:avLst/>
                          </a:prstGeom>
                          <a:solidFill>
                            <a:schemeClr val="bg2">
                              <a:lumMod val="9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1524000" y="3733800"/>
                            <a:ext cx="3733800" cy="1676400"/>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TextBox 20"/>
                          <a:cNvSpPr txBox="1"/>
                        </a:nvSpPr>
                        <a:spPr>
                          <a:xfrm>
                            <a:off x="838200" y="685800"/>
                            <a:ext cx="123495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North Cave</a:t>
                              </a:r>
                              <a:endParaRPr lang="en-US" dirty="0"/>
                            </a:p>
                          </a:txBody>
                          <a:useSpRect/>
                        </a:txSp>
                      </a:sp>
                      <a:sp>
                        <a:nvSpPr>
                          <a:cNvPr id="22" name="TextBox 21"/>
                          <a:cNvSpPr txBox="1"/>
                        </a:nvSpPr>
                        <a:spPr>
                          <a:xfrm>
                            <a:off x="7239000" y="685800"/>
                            <a:ext cx="123335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South Cave</a:t>
                              </a:r>
                              <a:endParaRPr lang="en-US" dirty="0"/>
                            </a:p>
                          </a:txBody>
                          <a:useSpRect/>
                        </a:txSp>
                      </a:sp>
                      <a:sp>
                        <a:nvSpPr>
                          <a:cNvPr id="23" name="TextBox 22"/>
                          <a:cNvSpPr txBox="1"/>
                        </a:nvSpPr>
                        <a:spPr>
                          <a:xfrm>
                            <a:off x="2209800" y="1905000"/>
                            <a:ext cx="1143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FE Test Stand</a:t>
                              </a:r>
                              <a:endParaRPr lang="en-US" sz="1200" dirty="0"/>
                            </a:p>
                          </a:txBody>
                          <a:useSpRect/>
                        </a:txSp>
                      </a:sp>
                      <a:sp>
                        <a:nvSpPr>
                          <a:cNvPr id="24" name="TextBox 23"/>
                          <a:cNvSpPr txBox="1"/>
                        </a:nvSpPr>
                        <a:spPr>
                          <a:xfrm>
                            <a:off x="3733800" y="1905000"/>
                            <a:ext cx="1143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FE Test Stand</a:t>
                              </a:r>
                              <a:endParaRPr lang="en-US" sz="1200" dirty="0"/>
                            </a:p>
                          </a:txBody>
                          <a:useSpRect/>
                        </a:txSp>
                      </a:sp>
                      <a:grpSp>
                        <a:nvGrpSpPr>
                          <a:cNvPr id="20" name="Group 35"/>
                          <a:cNvGrpSpPr/>
                        </a:nvGrpSpPr>
                        <a:grpSpPr>
                          <a:xfrm>
                            <a:off x="2286000" y="4191000"/>
                            <a:ext cx="1602582" cy="534194"/>
                            <a:chOff x="2590006" y="4343400"/>
                            <a:chExt cx="1602582" cy="534194"/>
                          </a:xfrm>
                        </a:grpSpPr>
                        <a:cxnSp>
                          <a:nvCxnSpPr>
                            <a:cNvPr id="26" name="Straight Connector 25"/>
                            <a:cNvCxnSpPr/>
                          </a:nvCxnSpPr>
                          <a:spPr>
                            <a:xfrm flipV="1">
                              <a:off x="2590800" y="4648200"/>
                              <a:ext cx="457200" cy="228600"/>
                            </a:xfrm>
                            <a:prstGeom prst="line">
                              <a:avLst/>
                            </a:prstGeom>
                          </a:spPr>
                          <a:style>
                            <a:lnRef idx="2">
                              <a:schemeClr val="accent2"/>
                            </a:lnRef>
                            <a:fillRef idx="0">
                              <a:schemeClr val="accent2"/>
                            </a:fillRef>
                            <a:effectRef idx="1">
                              <a:schemeClr val="accent2"/>
                            </a:effectRef>
                            <a:fontRef idx="minor">
                              <a:schemeClr val="tx1"/>
                            </a:fontRef>
                          </a:style>
                        </a:cxnSp>
                        <a:cxnSp>
                          <a:nvCxnSpPr>
                            <a:cNvPr id="28" name="Straight Connector 27"/>
                            <a:cNvCxnSpPr/>
                          </a:nvCxnSpPr>
                          <a:spPr>
                            <a:xfrm>
                              <a:off x="3048000" y="4648200"/>
                              <a:ext cx="685800" cy="1588"/>
                            </a:xfrm>
                            <a:prstGeom prst="line">
                              <a:avLst/>
                            </a:prstGeom>
                          </a:spPr>
                          <a:style>
                            <a:lnRef idx="2">
                              <a:schemeClr val="accent2"/>
                            </a:lnRef>
                            <a:fillRef idx="0">
                              <a:schemeClr val="accent2"/>
                            </a:fillRef>
                            <a:effectRef idx="1">
                              <a:schemeClr val="accent2"/>
                            </a:effectRef>
                            <a:fontRef idx="minor">
                              <a:schemeClr val="tx1"/>
                            </a:fontRef>
                          </a:style>
                        </a:cxnSp>
                        <a:cxnSp>
                          <a:nvCxnSpPr>
                            <a:cNvPr id="2" name="Straight Connector 28"/>
                            <a:cNvCxnSpPr/>
                          </a:nvCxnSpPr>
                          <a:spPr>
                            <a:xfrm flipH="1" flipV="1">
                              <a:off x="3733800" y="4648200"/>
                              <a:ext cx="457200" cy="228600"/>
                            </a:xfrm>
                            <a:prstGeom prst="line">
                              <a:avLst/>
                            </a:prstGeom>
                          </a:spPr>
                          <a:style>
                            <a:lnRef idx="2">
                              <a:schemeClr val="accent2"/>
                            </a:lnRef>
                            <a:fillRef idx="0">
                              <a:schemeClr val="accent2"/>
                            </a:fillRef>
                            <a:effectRef idx="1">
                              <a:schemeClr val="accent2"/>
                            </a:effectRef>
                            <a:fontRef idx="minor">
                              <a:schemeClr val="tx1"/>
                            </a:fontRef>
                          </a:style>
                        </a:cxnSp>
                        <a:cxnSp>
                          <a:nvCxnSpPr>
                            <a:cNvPr id="31" name="Straight Connector 30"/>
                            <a:cNvCxnSpPr/>
                          </a:nvCxnSpPr>
                          <a:spPr>
                            <a:xfrm rot="5400000" flipH="1" flipV="1">
                              <a:off x="2324100" y="4610100"/>
                              <a:ext cx="533400" cy="1588"/>
                            </a:xfrm>
                            <a:prstGeom prst="line">
                              <a:avLst/>
                            </a:prstGeom>
                          </a:spPr>
                          <a:style>
                            <a:lnRef idx="2">
                              <a:schemeClr val="accent2"/>
                            </a:lnRef>
                            <a:fillRef idx="0">
                              <a:schemeClr val="accent2"/>
                            </a:fillRef>
                            <a:effectRef idx="1">
                              <a:schemeClr val="accent2"/>
                            </a:effectRef>
                            <a:fontRef idx="minor">
                              <a:schemeClr val="tx1"/>
                            </a:fontRef>
                          </a:style>
                        </a:cxnSp>
                        <a:cxnSp>
                          <a:nvCxnSpPr>
                            <a:cNvPr id="33" name="Straight Connector 32"/>
                            <a:cNvCxnSpPr/>
                          </a:nvCxnSpPr>
                          <a:spPr>
                            <a:xfrm>
                              <a:off x="2590800" y="4343400"/>
                              <a:ext cx="1600200" cy="1588"/>
                            </a:xfrm>
                            <a:prstGeom prst="line">
                              <a:avLst/>
                            </a:prstGeom>
                          </a:spPr>
                          <a:style>
                            <a:lnRef idx="2">
                              <a:schemeClr val="accent2"/>
                            </a:lnRef>
                            <a:fillRef idx="0">
                              <a:schemeClr val="accent2"/>
                            </a:fillRef>
                            <a:effectRef idx="1">
                              <a:schemeClr val="accent2"/>
                            </a:effectRef>
                            <a:fontRef idx="minor">
                              <a:schemeClr val="tx1"/>
                            </a:fontRef>
                          </a:style>
                        </a:cxnSp>
                        <a:cxnSp>
                          <a:nvCxnSpPr>
                            <a:cNvPr id="34" name="Straight Connector 33"/>
                            <a:cNvCxnSpPr/>
                          </a:nvCxnSpPr>
                          <a:spPr>
                            <a:xfrm rot="5400000" flipH="1" flipV="1">
                              <a:off x="3925094" y="4609306"/>
                              <a:ext cx="533400" cy="1588"/>
                            </a:xfrm>
                            <a:prstGeom prst="line">
                              <a:avLst/>
                            </a:prstGeom>
                          </a:spPr>
                          <a:style>
                            <a:lnRef idx="2">
                              <a:schemeClr val="accent2"/>
                            </a:lnRef>
                            <a:fillRef idx="0">
                              <a:schemeClr val="accent2"/>
                            </a:fillRef>
                            <a:effectRef idx="1">
                              <a:schemeClr val="accent2"/>
                            </a:effectRef>
                            <a:fontRef idx="minor">
                              <a:schemeClr val="tx1"/>
                            </a:fontRef>
                          </a:style>
                        </a:cxnSp>
                      </a:grpSp>
                      <a:sp>
                        <a:nvSpPr>
                          <a:cNvPr id="35" name="Rectangle 34"/>
                          <a:cNvSpPr/>
                        </a:nvSpPr>
                        <a:spPr>
                          <a:xfrm>
                            <a:off x="3962400" y="4267200"/>
                            <a:ext cx="533400" cy="304800"/>
                          </a:xfrm>
                          <a:prstGeom prst="rect">
                            <a:avLst/>
                          </a:prstGeom>
                          <a:solidFill>
                            <a:schemeClr val="bg2">
                              <a:lumMod val="9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TextBox 36"/>
                          <a:cNvSpPr txBox="1"/>
                        </a:nvSpPr>
                        <a:spPr>
                          <a:xfrm>
                            <a:off x="2514600" y="5410200"/>
                            <a:ext cx="147893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Control Room</a:t>
                              </a:r>
                              <a:endParaRPr lang="en-US" dirty="0"/>
                            </a:p>
                          </a:txBody>
                          <a:useSpRect/>
                        </a:txSp>
                      </a:sp>
                      <a:sp>
                        <a:nvSpPr>
                          <a:cNvPr id="38" name="TextBox 37"/>
                          <a:cNvSpPr txBox="1"/>
                        </a:nvSpPr>
                        <a:spPr>
                          <a:xfrm>
                            <a:off x="3124200" y="2971800"/>
                            <a:ext cx="857927"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225kV PS</a:t>
                              </a:r>
                              <a:endParaRPr lang="en-US" sz="1400" dirty="0"/>
                            </a:p>
                          </a:txBody>
                          <a:useSpRect/>
                        </a:txSp>
                      </a:sp>
                      <a:sp>
                        <a:nvSpPr>
                          <a:cNvPr id="39" name="TextBox 38"/>
                          <a:cNvSpPr txBox="1"/>
                        </a:nvSpPr>
                        <a:spPr>
                          <a:xfrm>
                            <a:off x="3886200" y="4572000"/>
                            <a:ext cx="857927"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125kV PS</a:t>
                              </a:r>
                              <a:endParaRPr lang="en-US" sz="1400" dirty="0"/>
                            </a:p>
                          </a:txBody>
                          <a:useSpRect/>
                        </a:txSp>
                      </a:sp>
                      <a:cxnSp>
                        <a:nvCxnSpPr>
                          <a:cNvPr id="41" name="Straight Connector 40"/>
                          <a:cNvCxnSpPr>
                            <a:stCxn id="18" idx="0"/>
                            <a:endCxn id="15" idx="2"/>
                          </a:cNvCxnSpPr>
                        </a:nvCxnSpPr>
                        <a:spPr>
                          <a:xfrm rot="5400000" flipH="1" flipV="1">
                            <a:off x="4076700" y="2819400"/>
                            <a:ext cx="3048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rot="5400000" flipH="1" flipV="1">
                            <a:off x="2248694" y="3313906"/>
                            <a:ext cx="12954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rot="5400000" flipH="1" flipV="1">
                            <a:off x="4115594" y="4114006"/>
                            <a:ext cx="3048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50" name="Straight Connector 49"/>
                          <a:cNvCxnSpPr/>
                        </a:nvCxnSpPr>
                        <a:spPr>
                          <a:xfrm>
                            <a:off x="2895600" y="3962400"/>
                            <a:ext cx="1371600" cy="1588"/>
                          </a:xfrm>
                          <a:prstGeom prst="line">
                            <a:avLst/>
                          </a:prstGeom>
                        </a:spPr>
                        <a:style>
                          <a:lnRef idx="1">
                            <a:schemeClr val="accent1"/>
                          </a:lnRef>
                          <a:fillRef idx="0">
                            <a:schemeClr val="accent1"/>
                          </a:fillRef>
                          <a:effectRef idx="0">
                            <a:schemeClr val="accent1"/>
                          </a:effectRef>
                          <a:fontRef idx="minor">
                            <a:schemeClr val="tx1"/>
                          </a:fontRef>
                        </a:style>
                      </a:cxnSp>
                      <a:grpSp>
                        <a:nvGrpSpPr>
                          <a:cNvPr id="29" name="Group 52"/>
                          <a:cNvGrpSpPr/>
                        </a:nvGrpSpPr>
                        <a:grpSpPr>
                          <a:xfrm>
                            <a:off x="5334000" y="2133600"/>
                            <a:ext cx="2438400" cy="533400"/>
                            <a:chOff x="5410200" y="2286000"/>
                            <a:chExt cx="2438400" cy="533400"/>
                          </a:xfrm>
                        </a:grpSpPr>
                        <a:sp>
                          <a:nvSpPr>
                            <a:cNvPr id="51" name="Rectangle 50"/>
                            <a:cNvSpPr/>
                          </a:nvSpPr>
                          <a:spPr>
                            <a:xfrm>
                              <a:off x="5410200" y="2514600"/>
                              <a:ext cx="1600200" cy="76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Rectangle 51"/>
                            <a:cNvSpPr/>
                          </a:nvSpPr>
                          <a:spPr>
                            <a:xfrm>
                              <a:off x="7010400" y="2286000"/>
                              <a:ext cx="8382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54" name="TextBox 53"/>
                          <a:cNvSpPr txBox="1"/>
                        </a:nvSpPr>
                        <a:spPr>
                          <a:xfrm>
                            <a:off x="5410200" y="1828800"/>
                            <a:ext cx="1935017"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err="1" smtClean="0"/>
                                <a:t>Photogun</a:t>
                              </a:r>
                              <a:r>
                                <a:rPr lang="en-US" sz="1400" dirty="0" smtClean="0"/>
                                <a:t> </a:t>
                              </a:r>
                              <a:r>
                                <a:rPr lang="en-US" sz="1400" dirty="0" smtClean="0"/>
                                <a:t>and </a:t>
                              </a:r>
                              <a:r>
                                <a:rPr lang="en-US" sz="1400" dirty="0" err="1" smtClean="0"/>
                                <a:t>Beamline</a:t>
                              </a:r>
                              <a:endParaRPr lang="en-US" sz="1400" dirty="0"/>
                            </a:p>
                          </a:txBody>
                          <a:useSpRect/>
                        </a:txSp>
                      </a:sp>
                      <a:sp>
                        <a:nvSpPr>
                          <a:cNvPr id="55" name="TextBox 54"/>
                          <a:cNvSpPr txBox="1"/>
                        </a:nvSpPr>
                        <a:spPr>
                          <a:xfrm>
                            <a:off x="4724400" y="2895600"/>
                            <a:ext cx="1283941" cy="307777"/>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Lead-lined wall</a:t>
                              </a:r>
                              <a:endParaRPr lang="en-US" sz="1400" dirty="0"/>
                            </a:p>
                          </a:txBody>
                          <a:useSpRect/>
                        </a:txSp>
                      </a:sp>
                      <a:sp>
                        <a:nvSpPr>
                          <a:cNvPr id="56" name="TextBox 55"/>
                          <a:cNvSpPr txBox="1"/>
                        </a:nvSpPr>
                        <a:spPr>
                          <a:xfrm>
                            <a:off x="4648200" y="990600"/>
                            <a:ext cx="76335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CARM</a:t>
                              </a:r>
                              <a:endParaRPr lang="en-US" dirty="0"/>
                            </a:p>
                          </a:txBody>
                          <a:useSpRect/>
                        </a:txSp>
                      </a:sp>
                      <a:sp>
                        <a:nvSpPr>
                          <a:cNvPr id="57" name="TextBox 56"/>
                          <a:cNvSpPr txBox="1"/>
                        </a:nvSpPr>
                        <a:spPr>
                          <a:xfrm>
                            <a:off x="838200" y="990600"/>
                            <a:ext cx="76335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CARM</a:t>
                              </a:r>
                              <a:endParaRPr lang="en-US" dirty="0"/>
                            </a:p>
                          </a:txBody>
                          <a:useSpRect/>
                        </a:txSp>
                      </a:sp>
                      <a:sp>
                        <a:nvSpPr>
                          <a:cNvPr id="58" name="TextBox 57"/>
                          <a:cNvSpPr txBox="1"/>
                        </a:nvSpPr>
                        <a:spPr>
                          <a:xfrm>
                            <a:off x="762000" y="3276600"/>
                            <a:ext cx="13716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PSS-interlocked door</a:t>
                              </a:r>
                              <a:endParaRPr lang="en-US" sz="1400" dirty="0"/>
                            </a:p>
                          </a:txBody>
                          <a:useSpRect/>
                        </a:txSp>
                      </a:sp>
                      <a:sp>
                        <a:nvSpPr>
                          <a:cNvPr id="59" name="TextBox 58"/>
                          <a:cNvSpPr txBox="1"/>
                        </a:nvSpPr>
                        <a:spPr>
                          <a:xfrm>
                            <a:off x="3276600" y="1066800"/>
                            <a:ext cx="13716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PSS-interlocked door</a:t>
                              </a:r>
                              <a:endParaRPr lang="en-US" sz="1400" dirty="0"/>
                            </a:p>
                          </a:txBody>
                          <a:useSpRect/>
                        </a:txSp>
                      </a:sp>
                      <a:grpSp>
                        <a:nvGrpSpPr>
                          <a:cNvPr id="36" name="Group 61"/>
                          <a:cNvGrpSpPr/>
                        </a:nvGrpSpPr>
                        <a:grpSpPr>
                          <a:xfrm>
                            <a:off x="3352800" y="4648200"/>
                            <a:ext cx="228600" cy="304800"/>
                            <a:chOff x="3124200" y="4800600"/>
                            <a:chExt cx="228600" cy="304800"/>
                          </a:xfrm>
                        </a:grpSpPr>
                        <a:sp>
                          <a:nvSpPr>
                            <a:cNvPr id="60" name="Oval 59"/>
                            <a:cNvSpPr/>
                          </a:nvSpPr>
                          <a:spPr>
                            <a:xfrm>
                              <a:off x="3124200" y="48006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Oval 60"/>
                            <a:cNvSpPr/>
                          </a:nvSpPr>
                          <a:spPr>
                            <a:xfrm>
                              <a:off x="3124200" y="5029200"/>
                              <a:ext cx="2286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67" name="Straight Connector 66"/>
                          <a:cNvCxnSpPr/>
                        </a:nvCxnSpPr>
                        <a:spPr>
                          <a:xfrm rot="5400000" flipH="1" flipV="1">
                            <a:off x="2934494" y="3923506"/>
                            <a:ext cx="838200" cy="1588"/>
                          </a:xfrm>
                          <a:prstGeom prst="line">
                            <a:avLst/>
                          </a:prstGeom>
                        </a:spPr>
                        <a:style>
                          <a:lnRef idx="1">
                            <a:schemeClr val="accent2"/>
                          </a:lnRef>
                          <a:fillRef idx="0">
                            <a:schemeClr val="accent2"/>
                          </a:fillRef>
                          <a:effectRef idx="0">
                            <a:schemeClr val="accent2"/>
                          </a:effectRef>
                          <a:fontRef idx="minor">
                            <a:schemeClr val="tx1"/>
                          </a:fontRef>
                        </a:style>
                      </a:cxnSp>
                      <a:cxnSp>
                        <a:nvCxnSpPr>
                          <a:cNvPr id="69" name="Straight Connector 68"/>
                          <a:cNvCxnSpPr/>
                        </a:nvCxnSpPr>
                        <a:spPr>
                          <a:xfrm rot="5400000" flipH="1" flipV="1">
                            <a:off x="4153694" y="3390106"/>
                            <a:ext cx="228600" cy="1588"/>
                          </a:xfrm>
                          <a:prstGeom prst="line">
                            <a:avLst/>
                          </a:prstGeom>
                        </a:spPr>
                        <a:style>
                          <a:lnRef idx="1">
                            <a:schemeClr val="accent2"/>
                          </a:lnRef>
                          <a:fillRef idx="0">
                            <a:schemeClr val="accent2"/>
                          </a:fillRef>
                          <a:effectRef idx="0">
                            <a:schemeClr val="accent2"/>
                          </a:effectRef>
                          <a:fontRef idx="minor">
                            <a:schemeClr val="tx1"/>
                          </a:fontRef>
                        </a:style>
                      </a:cxnSp>
                      <a:cxnSp>
                        <a:nvCxnSpPr>
                          <a:cNvPr id="71" name="Straight Connector 70"/>
                          <a:cNvCxnSpPr/>
                        </a:nvCxnSpPr>
                        <a:spPr>
                          <a:xfrm>
                            <a:off x="3352800" y="3505200"/>
                            <a:ext cx="4038600" cy="0"/>
                          </a:xfrm>
                          <a:prstGeom prst="line">
                            <a:avLst/>
                          </a:prstGeom>
                        </a:spPr>
                        <a:style>
                          <a:lnRef idx="1">
                            <a:schemeClr val="accent2"/>
                          </a:lnRef>
                          <a:fillRef idx="0">
                            <a:schemeClr val="accent2"/>
                          </a:fillRef>
                          <a:effectRef idx="0">
                            <a:schemeClr val="accent2"/>
                          </a:effectRef>
                          <a:fontRef idx="minor">
                            <a:schemeClr val="tx1"/>
                          </a:fontRef>
                        </a:style>
                      </a:cxnSp>
                      <a:cxnSp>
                        <a:nvCxnSpPr>
                          <a:cNvPr id="70" name="Straight Connector 69"/>
                          <a:cNvCxnSpPr/>
                        </a:nvCxnSpPr>
                        <a:spPr>
                          <a:xfrm rot="5400000" flipH="1" flipV="1">
                            <a:off x="3239294" y="3923506"/>
                            <a:ext cx="838200" cy="1588"/>
                          </a:xfrm>
                          <a:prstGeom prst="line">
                            <a:avLst/>
                          </a:prstGeom>
                        </a:spPr>
                        <a:style>
                          <a:lnRef idx="1">
                            <a:schemeClr val="accent2"/>
                          </a:lnRef>
                          <a:fillRef idx="0">
                            <a:schemeClr val="accent2"/>
                          </a:fillRef>
                          <a:effectRef idx="0">
                            <a:schemeClr val="accent2"/>
                          </a:effectRef>
                          <a:fontRef idx="minor">
                            <a:schemeClr val="tx1"/>
                          </a:fontRef>
                        </a:style>
                      </a:cxnSp>
                      <a:sp>
                        <a:nvSpPr>
                          <a:cNvPr id="75" name="Rectangle 74"/>
                          <a:cNvSpPr/>
                        </a:nvSpPr>
                        <a:spPr>
                          <a:xfrm>
                            <a:off x="2438400" y="3124200"/>
                            <a:ext cx="152400" cy="152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Rectangle 75"/>
                          <a:cNvSpPr/>
                        </a:nvSpPr>
                        <a:spPr>
                          <a:xfrm>
                            <a:off x="838200" y="1676400"/>
                            <a:ext cx="152400" cy="381000"/>
                          </a:xfrm>
                          <a:prstGeom prst="rect">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TextBox 76"/>
                          <a:cNvSpPr txBox="1"/>
                        </a:nvSpPr>
                        <a:spPr>
                          <a:xfrm>
                            <a:off x="990600" y="1600200"/>
                            <a:ext cx="1268552"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PSS Run/Safe box</a:t>
                              </a:r>
                              <a:endParaRPr lang="en-US" sz="1200" dirty="0"/>
                            </a:p>
                          </a:txBody>
                          <a:useSpRect/>
                        </a:txSp>
                      </a:sp>
                      <a:sp>
                        <a:nvSpPr>
                          <a:cNvPr id="78" name="TextBox 77"/>
                          <a:cNvSpPr txBox="1"/>
                        </a:nvSpPr>
                        <a:spPr>
                          <a:xfrm>
                            <a:off x="2133600" y="3276600"/>
                            <a:ext cx="280006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Common breaker for all HV supplies</a:t>
                              </a:r>
                            </a:p>
                          </a:txBody>
                          <a:useSpRect/>
                        </a:txSp>
                      </a:sp>
                      <a:sp>
                        <a:nvSpPr>
                          <a:cNvPr id="68" name="Rectangle 67"/>
                          <a:cNvSpPr/>
                        </a:nvSpPr>
                        <a:spPr>
                          <a:xfrm>
                            <a:off x="3505200" y="4267200"/>
                            <a:ext cx="228600" cy="152400"/>
                          </a:xfrm>
                          <a:prstGeom prst="rect">
                            <a:avLst/>
                          </a:prstGeom>
                          <a:solidFill>
                            <a:srgbClr val="FFC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Rectangle 62"/>
                          <a:cNvSpPr/>
                        </a:nvSpPr>
                        <a:spPr>
                          <a:xfrm>
                            <a:off x="3200400" y="4267200"/>
                            <a:ext cx="228600" cy="152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TextBox 71"/>
                          <a:cNvSpPr txBox="1"/>
                        </a:nvSpPr>
                        <a:spPr>
                          <a:xfrm>
                            <a:off x="2286000" y="3962400"/>
                            <a:ext cx="12192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Local Control</a:t>
                              </a:r>
                            </a:p>
                            <a:p>
                              <a:pPr algn="ctr"/>
                              <a:r>
                                <a:rPr lang="en-US" sz="1400" dirty="0" smtClean="0"/>
                                <a:t>&amp; PC</a:t>
                              </a:r>
                              <a:endParaRPr lang="en-US" sz="1400" dirty="0"/>
                            </a:p>
                          </a:txBody>
                          <a:useSpRect/>
                        </a:txSp>
                      </a:sp>
                      <a:sp>
                        <a:nvSpPr>
                          <a:cNvPr id="74" name="TextBox 73"/>
                          <a:cNvSpPr txBox="1"/>
                        </a:nvSpPr>
                        <a:spPr>
                          <a:xfrm>
                            <a:off x="4648200" y="1371600"/>
                            <a:ext cx="13716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PSS-interlocked door</a:t>
                              </a:r>
                              <a:endParaRPr lang="en-US" sz="1400" dirty="0"/>
                            </a:p>
                          </a:txBody>
                          <a:useSpRect/>
                        </a:txSp>
                      </a:sp>
                      <a:sp>
                        <a:nvSpPr>
                          <a:cNvPr id="65" name="TextBox 64"/>
                          <a:cNvSpPr txBox="1"/>
                        </a:nvSpPr>
                        <a:spPr>
                          <a:xfrm>
                            <a:off x="1447800" y="4343400"/>
                            <a:ext cx="990600" cy="738664"/>
                          </a:xfrm>
                          <a:prstGeom prst="rect">
                            <a:avLst/>
                          </a:prstGeom>
                          <a:noFill/>
                          <a:ln>
                            <a:solidFill>
                              <a:schemeClr val="bg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PSS Controls </a:t>
                              </a:r>
                            </a:p>
                            <a:p>
                              <a:pPr algn="ctr"/>
                              <a:r>
                                <a:rPr lang="en-US" sz="1400" dirty="0" smtClean="0"/>
                                <a:t>Rack</a:t>
                              </a:r>
                              <a:endParaRPr lang="en-US" sz="1400" dirty="0"/>
                            </a:p>
                          </a:txBody>
                          <a:useSpRect/>
                        </a:txSp>
                      </a:sp>
                      <a:sp>
                        <a:nvSpPr>
                          <a:cNvPr id="64" name="Rectangle 63"/>
                          <a:cNvSpPr/>
                        </a:nvSpPr>
                        <a:spPr>
                          <a:xfrm>
                            <a:off x="1828800" y="3886200"/>
                            <a:ext cx="381000" cy="457200"/>
                          </a:xfrm>
                          <a:prstGeom prst="rect">
                            <a:avLst/>
                          </a:prstGeom>
                          <a:solidFill>
                            <a:schemeClr val="accent1">
                              <a:lumMod val="60000"/>
                              <a:lumOff val="4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Rectangle 65"/>
                          <a:cNvSpPr/>
                        </a:nvSpPr>
                        <a:spPr>
                          <a:xfrm>
                            <a:off x="4267200" y="3733800"/>
                            <a:ext cx="152400" cy="152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Rectangle 78"/>
                          <a:cNvSpPr/>
                        </a:nvSpPr>
                        <a:spPr>
                          <a:xfrm>
                            <a:off x="4495800" y="3733800"/>
                            <a:ext cx="152400" cy="152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1" name="TextBox 80"/>
                          <a:cNvSpPr txBox="1"/>
                        </a:nvSpPr>
                        <a:spPr>
                          <a:xfrm>
                            <a:off x="5410200" y="3733800"/>
                            <a:ext cx="2748894"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Breakers for individual HV supplies </a:t>
                              </a:r>
                              <a:endParaRPr lang="en-US" sz="1400" dirty="0"/>
                            </a:p>
                          </a:txBody>
                          <a:useSpRect/>
                        </a:txSp>
                      </a:sp>
                      <a:sp>
                        <a:nvSpPr>
                          <a:cNvPr id="83" name="Rectangle 82"/>
                          <a:cNvSpPr/>
                        </a:nvSpPr>
                        <a:spPr>
                          <a:xfrm>
                            <a:off x="7086600" y="2971800"/>
                            <a:ext cx="533400" cy="304800"/>
                          </a:xfrm>
                          <a:prstGeom prst="rect">
                            <a:avLst/>
                          </a:prstGeom>
                          <a:solidFill>
                            <a:schemeClr val="bg2">
                              <a:lumMod val="9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TextBox 83"/>
                          <a:cNvSpPr txBox="1"/>
                        </a:nvSpPr>
                        <a:spPr>
                          <a:xfrm>
                            <a:off x="7620000" y="2971800"/>
                            <a:ext cx="857927"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225kV PS</a:t>
                              </a:r>
                              <a:endParaRPr lang="en-US" sz="1400" dirty="0"/>
                            </a:p>
                          </a:txBody>
                          <a:useSpRect/>
                        </a:txSp>
                      </a:sp>
                      <a:cxnSp>
                        <a:nvCxnSpPr>
                          <a:cNvPr id="85" name="Straight Connector 84"/>
                          <a:cNvCxnSpPr/>
                        </a:nvCxnSpPr>
                        <a:spPr>
                          <a:xfrm rot="5400000" flipH="1" flipV="1">
                            <a:off x="7239794" y="2818606"/>
                            <a:ext cx="3048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87" name="Straight Connector 86"/>
                          <a:cNvCxnSpPr/>
                        </a:nvCxnSpPr>
                        <a:spPr>
                          <a:xfrm rot="5400000" flipH="1" flipV="1">
                            <a:off x="7277894" y="3390106"/>
                            <a:ext cx="228600" cy="1588"/>
                          </a:xfrm>
                          <a:prstGeom prst="line">
                            <a:avLst/>
                          </a:prstGeom>
                        </a:spPr>
                        <a:style>
                          <a:lnRef idx="1">
                            <a:schemeClr val="accent2"/>
                          </a:lnRef>
                          <a:fillRef idx="0">
                            <a:schemeClr val="accent2"/>
                          </a:fillRef>
                          <a:effectRef idx="0">
                            <a:schemeClr val="accent2"/>
                          </a:effectRef>
                          <a:fontRef idx="minor">
                            <a:schemeClr val="tx1"/>
                          </a:fontRef>
                        </a:style>
                      </a:cxnSp>
                      <a:sp>
                        <a:nvSpPr>
                          <a:cNvPr id="90" name="Rectangle 89"/>
                          <a:cNvSpPr/>
                        </a:nvSpPr>
                        <a:spPr>
                          <a:xfrm>
                            <a:off x="4724400" y="3733800"/>
                            <a:ext cx="152400" cy="152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94" name="Straight Arrow Connector 93"/>
                        <a:cNvCxnSpPr>
                          <a:stCxn id="81" idx="1"/>
                        </a:cNvCxnSpPr>
                      </a:nvCxnSpPr>
                      <a:spPr>
                        <a:xfrm rot="10800000">
                          <a:off x="4953000" y="3810001"/>
                          <a:ext cx="457200" cy="7768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D656C8" w:rsidRDefault="00D656C8" w:rsidP="00C41723">
      <w:pPr>
        <w:jc w:val="center"/>
      </w:pPr>
    </w:p>
    <w:p w:rsidR="00C41723" w:rsidRDefault="00C41723" w:rsidP="00085A2C">
      <w:pPr>
        <w:jc w:val="center"/>
      </w:pPr>
      <w:proofErr w:type="gramStart"/>
      <w:r>
        <w:t>Figure 1.</w:t>
      </w:r>
      <w:proofErr w:type="gramEnd"/>
      <w:r>
        <w:t xml:space="preserve">  </w:t>
      </w:r>
      <w:proofErr w:type="gramStart"/>
      <w:r>
        <w:t>Schematic layout of Test Cave.</w:t>
      </w:r>
      <w:proofErr w:type="gramEnd"/>
    </w:p>
    <w:p w:rsidR="008D0762" w:rsidRDefault="008D0762" w:rsidP="008D0762"/>
    <w:p w:rsidR="00782DD9" w:rsidRDefault="00782DD9" w:rsidP="00782DD9"/>
    <w:p w:rsidR="00782DD9" w:rsidRDefault="00782DD9" w:rsidP="00C41723">
      <w:pPr>
        <w:jc w:val="center"/>
      </w:pPr>
      <w:r>
        <w:rPr>
          <w:noProof/>
        </w:rPr>
        <w:drawing>
          <wp:inline distT="0" distB="0" distL="0" distR="0">
            <wp:extent cx="3400425" cy="35814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400425" cy="3581400"/>
                    </a:xfrm>
                    <a:prstGeom prst="rect">
                      <a:avLst/>
                    </a:prstGeom>
                    <a:noFill/>
                    <a:ln w="9525">
                      <a:noFill/>
                      <a:miter lim="800000"/>
                      <a:headEnd/>
                      <a:tailEnd/>
                    </a:ln>
                  </pic:spPr>
                </pic:pic>
              </a:graphicData>
            </a:graphic>
          </wp:inline>
        </w:drawing>
      </w:r>
    </w:p>
    <w:p w:rsidR="00782DD9" w:rsidRDefault="00782DD9" w:rsidP="00782DD9"/>
    <w:p w:rsidR="009C488E" w:rsidRDefault="00C41723" w:rsidP="001C6A69">
      <w:pPr>
        <w:tabs>
          <w:tab w:val="left" w:pos="8100"/>
        </w:tabs>
        <w:ind w:left="540" w:right="540"/>
        <w:jc w:val="both"/>
      </w:pPr>
      <w:proofErr w:type="gramStart"/>
      <w:r>
        <w:t>Figure 2.</w:t>
      </w:r>
      <w:proofErr w:type="gramEnd"/>
      <w:r>
        <w:t xml:space="preserve">  </w:t>
      </w:r>
      <w:proofErr w:type="gramStart"/>
      <w:r>
        <w:t>North Cave workspace, with b</w:t>
      </w:r>
      <w:r w:rsidR="009C488E">
        <w:t xml:space="preserve">oth field emission test stands </w:t>
      </w:r>
      <w:r>
        <w:t>visible in this photograph</w:t>
      </w:r>
      <w:r w:rsidR="009C488E">
        <w:t>.</w:t>
      </w:r>
      <w:proofErr w:type="gramEnd"/>
      <w:r w:rsidR="009C488E">
        <w:t xml:space="preserve">  The Spellman 225kV power supply can be seen on the floor near the smaller field emission test stand, lower left. </w:t>
      </w:r>
    </w:p>
    <w:p w:rsidR="00D656C8" w:rsidRDefault="00D656C8" w:rsidP="00C41723">
      <w:pPr>
        <w:ind w:left="720" w:right="720"/>
        <w:jc w:val="both"/>
      </w:pPr>
    </w:p>
    <w:p w:rsidR="00D656C8" w:rsidRDefault="00D656C8" w:rsidP="00D656C8">
      <w:pPr>
        <w:ind w:left="720" w:right="720"/>
        <w:jc w:val="center"/>
      </w:pPr>
      <w:r w:rsidRPr="00D656C8">
        <w:rPr>
          <w:noProof/>
        </w:rPr>
        <w:drawing>
          <wp:inline distT="0" distB="0" distL="0" distR="0">
            <wp:extent cx="3556000" cy="2667000"/>
            <wp:effectExtent l="19050" t="0" r="6350" b="0"/>
            <wp:docPr id="4" name="Picture 2" descr="Trinity 001.jpg"/>
            <wp:cNvGraphicFramePr/>
            <a:graphic xmlns:a="http://schemas.openxmlformats.org/drawingml/2006/main">
              <a:graphicData uri="http://schemas.openxmlformats.org/drawingml/2006/picture">
                <pic:pic xmlns:pic="http://schemas.openxmlformats.org/drawingml/2006/picture">
                  <pic:nvPicPr>
                    <pic:cNvPr id="10" name="Picture 9" descr="Trinity 001.jpg"/>
                    <pic:cNvPicPr>
                      <a:picLocks noChangeAspect="1"/>
                    </pic:cNvPicPr>
                  </pic:nvPicPr>
                  <pic:blipFill>
                    <a:blip r:embed="rId15" cstate="print"/>
                    <a:stretch>
                      <a:fillRect/>
                    </a:stretch>
                  </pic:blipFill>
                  <pic:spPr>
                    <a:xfrm>
                      <a:off x="0" y="0"/>
                      <a:ext cx="3556000" cy="2667000"/>
                    </a:xfrm>
                    <a:prstGeom prst="rect">
                      <a:avLst/>
                    </a:prstGeom>
                  </pic:spPr>
                </pic:pic>
              </a:graphicData>
            </a:graphic>
          </wp:inline>
        </w:drawing>
      </w:r>
    </w:p>
    <w:p w:rsidR="00D656C8" w:rsidRDefault="00D656C8" w:rsidP="00D656C8">
      <w:pPr>
        <w:ind w:left="720" w:right="720"/>
        <w:jc w:val="center"/>
      </w:pPr>
    </w:p>
    <w:p w:rsidR="00D656C8" w:rsidRDefault="00D656C8" w:rsidP="001C6A69">
      <w:pPr>
        <w:ind w:left="540" w:right="360"/>
      </w:pPr>
      <w:proofErr w:type="gramStart"/>
      <w:r>
        <w:t>Figure 3.</w:t>
      </w:r>
      <w:proofErr w:type="gramEnd"/>
      <w:r>
        <w:t xml:space="preserve">  </w:t>
      </w:r>
      <w:proofErr w:type="gramStart"/>
      <w:r>
        <w:t>An alternate configuration of</w:t>
      </w:r>
      <w:r w:rsidR="009630C9">
        <w:t xml:space="preserve"> one of</w:t>
      </w:r>
      <w:r>
        <w:t xml:space="preserve"> the Field Emission Test Stand</w:t>
      </w:r>
      <w:r w:rsidR="009630C9">
        <w:t>s, the same test stand</w:t>
      </w:r>
      <w:r>
        <w:t xml:space="preserve"> shown in foreground of Figure 2.</w:t>
      </w:r>
      <w:proofErr w:type="gramEnd"/>
      <w:r>
        <w:t xml:space="preserve">  In this configuration, the high voltage insulator extends into the vacuum chamber. </w:t>
      </w:r>
    </w:p>
    <w:p w:rsidR="00782DD9" w:rsidRPr="00782DD9" w:rsidRDefault="00782DD9" w:rsidP="00782DD9"/>
    <w:p w:rsidR="005B720F" w:rsidRDefault="00F22B48">
      <w:pPr>
        <w:pStyle w:val="Heading2"/>
        <w:rPr>
          <w:rFonts w:eastAsia="MS Mincho"/>
        </w:rPr>
      </w:pPr>
      <w:bookmarkStart w:id="10" w:name="_Toc212358844"/>
      <w:r>
        <w:rPr>
          <w:rFonts w:eastAsia="MS Mincho"/>
        </w:rPr>
        <w:t>North Cave PSS</w:t>
      </w:r>
      <w:bookmarkEnd w:id="10"/>
    </w:p>
    <w:p w:rsidR="009C488E" w:rsidRDefault="009C488E" w:rsidP="009C488E"/>
    <w:p w:rsidR="00D656C8" w:rsidRPr="009C25D0" w:rsidRDefault="009C488E" w:rsidP="00D656C8">
      <w:pPr>
        <w:jc w:val="both"/>
        <w:rPr>
          <w:color w:val="FF0000"/>
        </w:rPr>
      </w:pPr>
      <w:r>
        <w:t>The North Test Cave is equipped with a personal safety system</w:t>
      </w:r>
      <w:r w:rsidR="00FF6BB8">
        <w:t xml:space="preserve"> (PSS)</w:t>
      </w:r>
      <w:r w:rsidR="00F22B48">
        <w:t xml:space="preserve">.  </w:t>
      </w:r>
      <w:r w:rsidR="00EA6217">
        <w:t xml:space="preserve">High voltage power supplies are electrically connected to the PSS and can only be energized when the PSS is “armed”.  </w:t>
      </w:r>
      <w:r w:rsidR="00F22B48">
        <w:t>T</w:t>
      </w:r>
      <w:r w:rsidR="00D94018">
        <w:t xml:space="preserve">he system operator must </w:t>
      </w:r>
      <w:r>
        <w:t>“</w:t>
      </w:r>
      <w:r w:rsidR="00D94018">
        <w:t>arm</w:t>
      </w:r>
      <w:r>
        <w:t xml:space="preserve">” </w:t>
      </w:r>
      <w:r w:rsidR="00D94018">
        <w:t xml:space="preserve">the PSS </w:t>
      </w:r>
      <w:r>
        <w:t>during a “sweep” of the North Cave</w:t>
      </w:r>
      <w:r w:rsidR="00F22B48">
        <w:t xml:space="preserve"> prior to making field emission measurements</w:t>
      </w:r>
      <w:r>
        <w:t xml:space="preserve">.  </w:t>
      </w:r>
      <w:r w:rsidR="00F22B48">
        <w:t>It is t</w:t>
      </w:r>
      <w:r>
        <w:t xml:space="preserve">he </w:t>
      </w:r>
      <w:r w:rsidR="00F22B48">
        <w:t xml:space="preserve">responsibility of the </w:t>
      </w:r>
      <w:r>
        <w:t xml:space="preserve">“sweeper” </w:t>
      </w:r>
      <w:r w:rsidR="00F22B48">
        <w:t>to ensure</w:t>
      </w:r>
      <w:r>
        <w:t xml:space="preserve"> that all personnel leave the</w:t>
      </w:r>
      <w:r w:rsidR="00F22B48">
        <w:t xml:space="preserve"> North Cave, and set</w:t>
      </w:r>
      <w:r>
        <w:t xml:space="preserve"> </w:t>
      </w:r>
      <w:r w:rsidR="00D94018">
        <w:t xml:space="preserve">magnetic interlocks on each </w:t>
      </w:r>
      <w:r>
        <w:t>door to restrict access while high voltage power supplies are ON.  Opening either door to the North Cave during system operation will turn OFF the high voltage power supplies.</w:t>
      </w:r>
      <w:r w:rsidR="00D94018" w:rsidRPr="00D94018">
        <w:t xml:space="preserve"> </w:t>
      </w:r>
      <w:r w:rsidR="00D94018">
        <w:t xml:space="preserve">A crash button inside the Control Room can be depressed to quickly turn OFF the high voltage power supplies.  </w:t>
      </w:r>
      <w:r w:rsidR="00282C9B">
        <w:t xml:space="preserve">The “Beam Permit” indicator </w:t>
      </w:r>
      <w:r w:rsidR="009C25D0" w:rsidRPr="00282C9B">
        <w:t xml:space="preserve">is energized outside the North Cave double-door entry way whenever the PSS is made up.  </w:t>
      </w:r>
      <w:r w:rsidR="00EA6217" w:rsidRPr="00282C9B">
        <w:t>Similarly, a “</w:t>
      </w:r>
      <w:r w:rsidR="00282C9B">
        <w:t>Danger – Potential for HV and Radiation Exists</w:t>
      </w:r>
      <w:r w:rsidR="00EA6217" w:rsidRPr="00282C9B">
        <w:t>” light is energized at the South Cave entryway</w:t>
      </w:r>
      <w:r w:rsidR="00282C9B">
        <w:t>.</w:t>
      </w:r>
      <w:r w:rsidR="00D656C8">
        <w:t xml:space="preserve">  The PSS is certified semi-annually. A valid certification must be in place in order to carry out activities in this SOP.</w:t>
      </w:r>
    </w:p>
    <w:p w:rsidR="009C488E" w:rsidRPr="009C25D0" w:rsidRDefault="009C488E" w:rsidP="009C488E">
      <w:pPr>
        <w:jc w:val="both"/>
        <w:rPr>
          <w:color w:val="FF0000"/>
        </w:rPr>
      </w:pPr>
    </w:p>
    <w:p w:rsidR="009C488E" w:rsidRPr="009C488E" w:rsidRDefault="009C488E" w:rsidP="009C488E"/>
    <w:p w:rsidR="008A621C" w:rsidRPr="007A186E" w:rsidRDefault="007A186E" w:rsidP="008A621C">
      <w:pPr>
        <w:pStyle w:val="Heading2"/>
      </w:pPr>
      <w:bookmarkStart w:id="11" w:name="_Toc212358845"/>
      <w:r>
        <w:t>High Voltage Power Supplies</w:t>
      </w:r>
      <w:bookmarkEnd w:id="11"/>
      <w:r>
        <w:t xml:space="preserve"> </w:t>
      </w:r>
    </w:p>
    <w:p w:rsidR="00F22B48" w:rsidRDefault="00F22B48" w:rsidP="008A621C">
      <w:pPr>
        <w:rPr>
          <w:b/>
        </w:rPr>
      </w:pPr>
    </w:p>
    <w:p w:rsidR="00F22B48" w:rsidRPr="00F22B48" w:rsidRDefault="00F22B48" w:rsidP="008A621C">
      <w:pPr>
        <w:rPr>
          <w:b/>
          <w:u w:val="single"/>
        </w:rPr>
      </w:pPr>
      <w:r w:rsidRPr="00F22B48">
        <w:rPr>
          <w:b/>
          <w:u w:val="single"/>
        </w:rPr>
        <w:t xml:space="preserve">Glassman 125 kV – 16mA power supply  </w:t>
      </w:r>
    </w:p>
    <w:p w:rsidR="008A621C" w:rsidRDefault="008A621C" w:rsidP="009C25D0">
      <w:pPr>
        <w:jc w:val="both"/>
      </w:pPr>
      <w:r>
        <w:t xml:space="preserve">The </w:t>
      </w:r>
      <w:r w:rsidR="009C25D0">
        <w:t xml:space="preserve">Glassman 125kV </w:t>
      </w:r>
      <w:r>
        <w:t>high voltage power supply is located in a grounded electronics rack in the test cave control room</w:t>
      </w:r>
      <w:r w:rsidR="00E90CB0">
        <w:t xml:space="preserve"> (rack 02)</w:t>
      </w:r>
      <w:r>
        <w:t xml:space="preserve">. </w:t>
      </w:r>
      <w:r w:rsidR="00C60B95">
        <w:t xml:space="preserve">The Glassman high voltage power supply can only be energized when the PSS is armed.  </w:t>
      </w:r>
      <w:r>
        <w:t xml:space="preserve">The high voltage cable, with grounded shield, attaches to the power supply with a commercial high voltage connector that does not allow physical access to any part of the power supply at high </w:t>
      </w:r>
      <w:r w:rsidR="009C25D0">
        <w:t>voltage</w:t>
      </w:r>
      <w:r>
        <w:t xml:space="preserve">. The shielded high voltage cable runs through an overhead cable tray and drops into a chase, which enters the test cave and is connected to the high voltage terminal of </w:t>
      </w:r>
      <w:r w:rsidR="009C25D0">
        <w:t xml:space="preserve">either field emission test stand.  There is an interlock wire attached to the high voltage cable used to ensure integrity of high voltage connections at the power supply and at the field emission test stand.  This interlock wire is part of the interlock chain – high voltage connections/attachments must be properly “made-up” to turn ON the high voltage power supply.  </w:t>
      </w:r>
    </w:p>
    <w:p w:rsidR="00C60B95" w:rsidRDefault="00C60B95" w:rsidP="009C25D0">
      <w:pPr>
        <w:jc w:val="both"/>
      </w:pPr>
    </w:p>
    <w:p w:rsidR="00C60B95" w:rsidRDefault="00C60B95" w:rsidP="009C25D0">
      <w:pPr>
        <w:jc w:val="both"/>
      </w:pPr>
      <w:r>
        <w:t xml:space="preserve">When </w:t>
      </w:r>
      <w:r w:rsidR="00975973">
        <w:t>field emission measurements are complete, the system operator turns OFF the Glassman high voltage power supply using on/off controls at the power supply front panel.  T</w:t>
      </w:r>
      <w:r>
        <w:t xml:space="preserve">he </w:t>
      </w:r>
      <w:r w:rsidR="00975973">
        <w:t xml:space="preserve">system operator then removes the </w:t>
      </w:r>
      <w:r>
        <w:t>high voltage cable from the Glassman high voltage power supply and insert</w:t>
      </w:r>
      <w:r w:rsidR="00975973">
        <w:t>s the cable</w:t>
      </w:r>
      <w:r>
        <w:t xml:space="preserve"> into a grounded braid/receptacle and locked out (more below under LOTO description)</w:t>
      </w:r>
      <w:r w:rsidR="00975973">
        <w:t xml:space="preserve">.  The system operator also sets the PSS to SAFE, which </w:t>
      </w:r>
      <w:r w:rsidR="00684BDA">
        <w:t>breaks the interlock of</w:t>
      </w:r>
      <w:r w:rsidR="00975973">
        <w:t xml:space="preserve"> the Glassman high voltage power supply.</w:t>
      </w:r>
    </w:p>
    <w:p w:rsidR="009C25D0" w:rsidRDefault="009C25D0" w:rsidP="009C25D0">
      <w:pPr>
        <w:jc w:val="both"/>
      </w:pPr>
    </w:p>
    <w:p w:rsidR="007B7616" w:rsidRPr="00F22B48" w:rsidRDefault="007B7616" w:rsidP="007B7616">
      <w:pPr>
        <w:rPr>
          <w:b/>
          <w:u w:val="single"/>
        </w:rPr>
      </w:pPr>
      <w:r>
        <w:rPr>
          <w:b/>
          <w:u w:val="single"/>
        </w:rPr>
        <w:t>Spellman 2</w:t>
      </w:r>
      <w:r w:rsidRPr="00F22B48">
        <w:rPr>
          <w:b/>
          <w:u w:val="single"/>
        </w:rPr>
        <w:t xml:space="preserve">25 kV – </w:t>
      </w:r>
      <w:r>
        <w:rPr>
          <w:b/>
          <w:u w:val="single"/>
        </w:rPr>
        <w:t>30</w:t>
      </w:r>
      <w:r w:rsidRPr="00F22B48">
        <w:rPr>
          <w:b/>
          <w:u w:val="single"/>
        </w:rPr>
        <w:t xml:space="preserve">mA power supply  </w:t>
      </w:r>
    </w:p>
    <w:p w:rsidR="007B7616" w:rsidRDefault="007B7616" w:rsidP="009C25D0">
      <w:pPr>
        <w:jc w:val="both"/>
      </w:pPr>
      <w:r>
        <w:t>The Spellman 225kV power supply resides inside the North Cave and is controlled via a personal computer</w:t>
      </w:r>
      <w:r w:rsidR="009B0434">
        <w:t xml:space="preserve"> and local interface chassis</w:t>
      </w:r>
      <w:r>
        <w:t xml:space="preserve"> </w:t>
      </w:r>
      <w:r w:rsidR="00293715">
        <w:t xml:space="preserve">located </w:t>
      </w:r>
      <w:r>
        <w:t>at</w:t>
      </w:r>
      <w:r w:rsidR="00733239">
        <w:t xml:space="preserve"> the Control Room. </w:t>
      </w:r>
      <w:r w:rsidR="00EA6217">
        <w:t xml:space="preserve">Just like the </w:t>
      </w:r>
      <w:r w:rsidR="00EA6217">
        <w:lastRenderedPageBreak/>
        <w:t xml:space="preserve">Glassman supply, the Spellman high voltage power supply can only be energized when the PSS is armed.  </w:t>
      </w:r>
      <w:r w:rsidR="00C60B95">
        <w:t xml:space="preserve">The high voltage cable is bolted to the power supply and the field emission test stand, ensuring that there is no exposed high voltage, and an interlock wire is used to ensure the integrity of the high voltage connections.  The interlock wire is part of the </w:t>
      </w:r>
      <w:r w:rsidR="00684BDA">
        <w:t>control</w:t>
      </w:r>
      <w:r w:rsidR="00C60B95">
        <w:t xml:space="preserve"> interlock chain.</w:t>
      </w:r>
      <w:r w:rsidR="00EA6217">
        <w:t xml:space="preserve"> </w:t>
      </w:r>
    </w:p>
    <w:p w:rsidR="005D2B4D" w:rsidRDefault="005D2B4D" w:rsidP="009C25D0">
      <w:pPr>
        <w:jc w:val="both"/>
      </w:pPr>
    </w:p>
    <w:p w:rsidR="005D2B4D" w:rsidRDefault="00975973" w:rsidP="009C25D0">
      <w:pPr>
        <w:jc w:val="both"/>
      </w:pPr>
      <w:r>
        <w:t xml:space="preserve">When field emission measurements are complete, the system operator turns OFF the Spellman high voltage power supply using controls on the personal computer, and sets the PSS to SAFE, which effectively removes AC power from the Spellman high voltage power supply.  The system operator </w:t>
      </w:r>
      <w:r w:rsidR="0089583E">
        <w:t xml:space="preserve">then walks behind the electronics racks in the Control Room, and sets the </w:t>
      </w:r>
      <w:r w:rsidR="00E90CB0">
        <w:t xml:space="preserve">appropriate </w:t>
      </w:r>
      <w:r w:rsidR="0089583E">
        <w:t>knife switch breaker to OFF and applies an administrative lock</w:t>
      </w:r>
      <w:r w:rsidR="0036392B">
        <w:t xml:space="preserve"> (more below under LOTO description)</w:t>
      </w:r>
      <w:r w:rsidR="0089583E">
        <w:t xml:space="preserve">.  Note: there are </w:t>
      </w:r>
      <w:r w:rsidR="00E90CB0">
        <w:t>three</w:t>
      </w:r>
      <w:r w:rsidR="0089583E">
        <w:t xml:space="preserve"> knife switch breakers inside the Control Room, </w:t>
      </w:r>
      <w:r w:rsidR="00E90CB0">
        <w:t xml:space="preserve">one for </w:t>
      </w:r>
      <w:r w:rsidR="00BB4918">
        <w:t>the</w:t>
      </w:r>
      <w:r w:rsidR="00E90CB0">
        <w:t xml:space="preserve"> 125kV Glassman high voltage power supply for the North Cave, </w:t>
      </w:r>
      <w:r w:rsidR="0089583E">
        <w:t xml:space="preserve">one for the Spellman 225kV high voltage power supply in the North Cave, and </w:t>
      </w:r>
      <w:r w:rsidR="00E90CB0">
        <w:t>another</w:t>
      </w:r>
      <w:r w:rsidR="0089583E">
        <w:t xml:space="preserve"> for</w:t>
      </w:r>
      <w:r w:rsidR="0036392B">
        <w:t xml:space="preserve"> the Spellman 225kV high voltage power supply in the South Cave. </w:t>
      </w:r>
      <w:r w:rsidR="0089583E">
        <w:t xml:space="preserve">  </w:t>
      </w:r>
    </w:p>
    <w:p w:rsidR="00AE52B4" w:rsidRDefault="00AE52B4" w:rsidP="009C25D0">
      <w:pPr>
        <w:jc w:val="both"/>
      </w:pPr>
    </w:p>
    <w:p w:rsidR="00AE52B4" w:rsidRDefault="00AE52B4" w:rsidP="009C25D0">
      <w:pPr>
        <w:jc w:val="both"/>
      </w:pPr>
      <w:r>
        <w:t xml:space="preserve">Note: there are two 208VAC power cords on </w:t>
      </w:r>
      <w:r w:rsidR="00E90CB0">
        <w:t>each</w:t>
      </w:r>
      <w:r>
        <w:t xml:space="preserve"> Spellman 225kV power supply; one power cord provides power to control electronics, the other power cord provides power to the high voltage electronics inside the supply.  The PSS interfaces to the high voltage part of the power supply</w:t>
      </w:r>
      <w:r w:rsidR="00D72AFF">
        <w:t xml:space="preserve">.  </w:t>
      </w:r>
      <w:r w:rsidR="00184262">
        <w:t>Both power cords are lab</w:t>
      </w:r>
      <w:r w:rsidR="00145513">
        <w:t>e</w:t>
      </w:r>
      <w:r w:rsidR="00184262">
        <w:t>led,</w:t>
      </w:r>
      <w:r>
        <w:t xml:space="preserve"> to </w:t>
      </w:r>
      <w:r w:rsidR="009B0434">
        <w:t>ensure</w:t>
      </w:r>
      <w:r>
        <w:t xml:space="preserve"> that the power cords are plugged into the correct 208VAC outlets.  </w:t>
      </w:r>
    </w:p>
    <w:p w:rsidR="00AE52B4" w:rsidRPr="00684BDA" w:rsidRDefault="00AE52B4" w:rsidP="009C25D0">
      <w:pPr>
        <w:jc w:val="both"/>
      </w:pPr>
    </w:p>
    <w:p w:rsidR="009C25D0" w:rsidRPr="007A186E" w:rsidRDefault="00FB37C3" w:rsidP="00FB37C3">
      <w:pPr>
        <w:pStyle w:val="Heading2"/>
        <w:numPr>
          <w:ilvl w:val="0"/>
          <w:numId w:val="0"/>
        </w:numPr>
        <w:ind w:left="420"/>
      </w:pPr>
      <w:bookmarkStart w:id="12" w:name="_Toc212358846"/>
      <w:r>
        <w:t xml:space="preserve">5.4  </w:t>
      </w:r>
      <w:r>
        <w:tab/>
      </w:r>
      <w:r w:rsidR="009C25D0">
        <w:t>High Voltage Power Supply LOTO</w:t>
      </w:r>
      <w:bookmarkEnd w:id="12"/>
    </w:p>
    <w:p w:rsidR="008A621C" w:rsidRDefault="008A621C" w:rsidP="008A621C"/>
    <w:p w:rsidR="008A621C" w:rsidRDefault="008945ED" w:rsidP="008945ED">
      <w:pPr>
        <w:jc w:val="both"/>
      </w:pPr>
      <w:r>
        <w:t xml:space="preserve">LOTO procedures are an important part of North Cave system operation and daily work practice.  LOTO </w:t>
      </w:r>
      <w:r w:rsidR="006E3D36">
        <w:t xml:space="preserve">ensures that high voltage is not applied to a field emission test stand while the North Cave is occupied.  </w:t>
      </w:r>
      <w:r w:rsidR="003D3EF5">
        <w:t>When</w:t>
      </w:r>
      <w:r w:rsidR="006E3D36">
        <w:t xml:space="preserve"> field emission measurement</w:t>
      </w:r>
      <w:r w:rsidR="003D3EF5">
        <w:t>s are complete</w:t>
      </w:r>
      <w:r w:rsidR="006E3D36">
        <w:t>, the system operator must turn OFF the high voltage power supply and perform the following LOTO procedure:</w:t>
      </w:r>
    </w:p>
    <w:p w:rsidR="006E3D36" w:rsidRDefault="006E3D36" w:rsidP="008945ED">
      <w:pPr>
        <w:jc w:val="both"/>
      </w:pPr>
    </w:p>
    <w:p w:rsidR="006E3D36" w:rsidRDefault="006E3D36" w:rsidP="008945ED">
      <w:pPr>
        <w:jc w:val="both"/>
        <w:rPr>
          <w:b/>
          <w:u w:val="single"/>
        </w:rPr>
      </w:pPr>
      <w:r w:rsidRPr="0094749E">
        <w:rPr>
          <w:b/>
          <w:u w:val="single"/>
        </w:rPr>
        <w:t>Glassman 125kV high voltage power supply</w:t>
      </w:r>
    </w:p>
    <w:p w:rsidR="00DF15F2" w:rsidRDefault="00DF15F2" w:rsidP="008945ED">
      <w:pPr>
        <w:jc w:val="both"/>
        <w:rPr>
          <w:b/>
          <w:u w:val="single"/>
        </w:rPr>
      </w:pPr>
    </w:p>
    <w:p w:rsidR="00DF15F2" w:rsidRPr="00DF15F2" w:rsidRDefault="00DF15F2" w:rsidP="00DF15F2">
      <w:r>
        <w:t>There are two Glassman 125kV high voltage power supplies mounted in</w:t>
      </w:r>
      <w:r w:rsidR="00E90CB0">
        <w:t>side</w:t>
      </w:r>
      <w:r>
        <w:t xml:space="preserve"> rack</w:t>
      </w:r>
      <w:r w:rsidR="00E90CB0">
        <w:t xml:space="preserve">s at the Injector Test Cave Control Room. </w:t>
      </w:r>
      <w:r>
        <w:t xml:space="preserve"> The </w:t>
      </w:r>
      <w:r w:rsidR="00E90CB0">
        <w:t xml:space="preserve">Glassman high voltage power supply </w:t>
      </w:r>
      <w:r w:rsidR="006179E6">
        <w:t xml:space="preserve">for the North Cave and field emission measurements resides </w:t>
      </w:r>
      <w:r w:rsidR="00E90CB0">
        <w:t xml:space="preserve">inside rack 02 </w:t>
      </w:r>
      <w:r w:rsidR="006179E6">
        <w:t>and</w:t>
      </w:r>
      <w:r w:rsidR="009B6215">
        <w:t xml:space="preserve"> is </w:t>
      </w:r>
      <w:r w:rsidR="00E90CB0">
        <w:t>clearly labeled</w:t>
      </w:r>
      <w:r>
        <w:t>.</w:t>
      </w:r>
      <w:r w:rsidR="00E90CB0">
        <w:t xml:space="preserve"> The other Glassman supply </w:t>
      </w:r>
      <w:r w:rsidR="006179E6">
        <w:t>sits in</w:t>
      </w:r>
      <w:r w:rsidR="009B6215">
        <w:t xml:space="preserve"> another rack - it </w:t>
      </w:r>
      <w:r w:rsidR="00E90CB0">
        <w:t xml:space="preserve">is </w:t>
      </w:r>
      <w:r w:rsidR="009B6215">
        <w:t>sometimes</w:t>
      </w:r>
      <w:r w:rsidR="00E90CB0">
        <w:t xml:space="preserve"> used for experiments in the South Cave.</w:t>
      </w:r>
      <w:r w:rsidR="00145513">
        <w:t xml:space="preserve"> LOTO procedures for the South Cave Glassman supply are described in the South Cave SOP: </w:t>
      </w:r>
      <w:hyperlink r:id="rId16" w:history="1">
        <w:r w:rsidR="00145513">
          <w:rPr>
            <w:rStyle w:val="Hyperlink"/>
            <w:rFonts w:ascii="Cambria" w:hAnsi="Cambria"/>
          </w:rPr>
          <w:t>A-09-003-SOP</w:t>
        </w:r>
      </w:hyperlink>
      <w:r w:rsidR="00145513">
        <w:t>.</w:t>
      </w:r>
    </w:p>
    <w:p w:rsidR="008A621C" w:rsidRDefault="008A621C" w:rsidP="008A621C">
      <w:r>
        <w:t xml:space="preserve">     </w:t>
      </w:r>
    </w:p>
    <w:p w:rsidR="00024674" w:rsidRDefault="006E3D36" w:rsidP="001461C0">
      <w:pPr>
        <w:pStyle w:val="ListParagraph"/>
        <w:numPr>
          <w:ilvl w:val="0"/>
          <w:numId w:val="32"/>
        </w:numPr>
        <w:ind w:left="720"/>
        <w:jc w:val="both"/>
      </w:pPr>
      <w:r>
        <w:t>Turn OFF the power supply at the front panel</w:t>
      </w:r>
    </w:p>
    <w:p w:rsidR="007F4FA6" w:rsidRDefault="007F4FA6" w:rsidP="001461C0">
      <w:pPr>
        <w:pStyle w:val="ListParagraph"/>
        <w:numPr>
          <w:ilvl w:val="0"/>
          <w:numId w:val="32"/>
        </w:numPr>
        <w:ind w:left="720"/>
        <w:jc w:val="both"/>
      </w:pPr>
      <w:r>
        <w:t>Verify that the high voltage output has dropped to Zero by monitoring the output on control panel or vendor supplied computer control screen</w:t>
      </w:r>
    </w:p>
    <w:p w:rsidR="007F4FA6" w:rsidRDefault="007F4FA6" w:rsidP="001461C0">
      <w:pPr>
        <w:pStyle w:val="ListParagraph"/>
        <w:numPr>
          <w:ilvl w:val="0"/>
          <w:numId w:val="32"/>
        </w:numPr>
        <w:ind w:left="720"/>
        <w:jc w:val="both"/>
      </w:pPr>
      <w:r>
        <w:t>Turn OFF high voltage controller</w:t>
      </w:r>
    </w:p>
    <w:p w:rsidR="006E3D36" w:rsidRDefault="006E3D36" w:rsidP="001461C0">
      <w:pPr>
        <w:pStyle w:val="ListParagraph"/>
        <w:numPr>
          <w:ilvl w:val="0"/>
          <w:numId w:val="32"/>
        </w:numPr>
        <w:ind w:left="720"/>
        <w:jc w:val="both"/>
      </w:pPr>
      <w:r>
        <w:t>Set PSS system to Safe</w:t>
      </w:r>
    </w:p>
    <w:p w:rsidR="00556773" w:rsidRDefault="003D3EF5" w:rsidP="00085A2C">
      <w:pPr>
        <w:pStyle w:val="ListParagraph"/>
        <w:numPr>
          <w:ilvl w:val="0"/>
          <w:numId w:val="32"/>
        </w:numPr>
        <w:ind w:left="720"/>
        <w:jc w:val="both"/>
      </w:pPr>
      <w:r>
        <w:lastRenderedPageBreak/>
        <w:t>From the control room, r</w:t>
      </w:r>
      <w:r w:rsidR="006E3D36">
        <w:t xml:space="preserve">emove the high voltage cable and insert into the grounded braid at the rear of the electronics rack.  Attach the red plastic </w:t>
      </w:r>
      <w:r w:rsidR="00684BDA">
        <w:t xml:space="preserve">Hubbell lockout </w:t>
      </w:r>
      <w:r w:rsidR="006E3D36">
        <w:t xml:space="preserve">fixture to the MS connector </w:t>
      </w:r>
      <w:r w:rsidR="00684BDA">
        <w:t xml:space="preserve">on the high voltage cable </w:t>
      </w:r>
      <w:r w:rsidR="006E3D36">
        <w:t>and attach the admin lock.</w:t>
      </w:r>
      <w:r w:rsidR="00085A2C">
        <w:t xml:space="preserve">  Alternatively, </w:t>
      </w:r>
      <w:r w:rsidR="00556773">
        <w:t xml:space="preserve">the knife switch breaker </w:t>
      </w:r>
      <w:r w:rsidR="00085A2C">
        <w:t xml:space="preserve">for the Glassman 125kV high voltage power supply, located behind the electronics racks </w:t>
      </w:r>
      <w:r w:rsidR="00556773">
        <w:t>inside the Control Room</w:t>
      </w:r>
      <w:r w:rsidR="00085A2C">
        <w:t>, can be set</w:t>
      </w:r>
      <w:r w:rsidR="00556773">
        <w:t xml:space="preserve"> to OFF, </w:t>
      </w:r>
      <w:r w:rsidR="00085A2C">
        <w:t>and locked out with an</w:t>
      </w:r>
      <w:r w:rsidR="00556773">
        <w:t xml:space="preserve"> administrative lock.  </w:t>
      </w:r>
    </w:p>
    <w:p w:rsidR="00770C8C" w:rsidRDefault="006E3D36" w:rsidP="006E3D36">
      <w:pPr>
        <w:pStyle w:val="ListParagraph"/>
        <w:numPr>
          <w:ilvl w:val="0"/>
          <w:numId w:val="32"/>
        </w:numPr>
        <w:tabs>
          <w:tab w:val="num" w:pos="720"/>
        </w:tabs>
        <w:ind w:left="720"/>
        <w:jc w:val="both"/>
      </w:pPr>
      <w:r>
        <w:t xml:space="preserve">When vacuum work is to be performed, the worker must </w:t>
      </w:r>
      <w:r w:rsidR="00770C8C">
        <w:t xml:space="preserve">attach a personal lock to the </w:t>
      </w:r>
      <w:r w:rsidR="00E90CB0">
        <w:t xml:space="preserve">common </w:t>
      </w:r>
      <w:r w:rsidR="00770C8C">
        <w:t>208VAC breaker switch</w:t>
      </w:r>
      <w:r w:rsidR="00E90CB0">
        <w:t xml:space="preserve"> inside the North Cave</w:t>
      </w:r>
      <w:r w:rsidR="00770C8C">
        <w:t xml:space="preserve">.  Then </w:t>
      </w:r>
      <w:r w:rsidR="003D3EF5">
        <w:t>apply a ground stick to the high voltage portion of the vacuum apparatus</w:t>
      </w:r>
      <w:r w:rsidR="003E2227">
        <w:t>. Then</w:t>
      </w:r>
      <w:r w:rsidR="00770C8C">
        <w:t xml:space="preserve"> remov</w:t>
      </w:r>
      <w:r w:rsidR="003E2227">
        <w:t>e</w:t>
      </w:r>
      <w:r w:rsidR="00770C8C">
        <w:t xml:space="preserve"> the high voltage cable and insert into designated ground receptacle nearby.  Once the cable has been grounded, the personal lock can be removed</w:t>
      </w:r>
      <w:r w:rsidR="003E2227">
        <w:t xml:space="preserve"> from the 208VAC breaker</w:t>
      </w:r>
      <w:r w:rsidR="00770C8C">
        <w:t xml:space="preserve">.  </w:t>
      </w:r>
    </w:p>
    <w:p w:rsidR="008A621C" w:rsidRDefault="008A621C" w:rsidP="00770C8C">
      <w:pPr>
        <w:pStyle w:val="ListParagraph"/>
        <w:tabs>
          <w:tab w:val="num" w:pos="720"/>
        </w:tabs>
        <w:jc w:val="both"/>
      </w:pPr>
      <w:r w:rsidRPr="00770C8C">
        <w:rPr>
          <w:b/>
        </w:rPr>
        <w:t xml:space="preserve">  </w:t>
      </w:r>
      <w:r>
        <w:t xml:space="preserve">     </w:t>
      </w:r>
    </w:p>
    <w:p w:rsidR="003D3EF5" w:rsidRPr="0094749E" w:rsidRDefault="003D3EF5" w:rsidP="003D3EF5">
      <w:pPr>
        <w:jc w:val="both"/>
        <w:rPr>
          <w:b/>
          <w:u w:val="single"/>
        </w:rPr>
      </w:pPr>
      <w:r w:rsidRPr="0094749E">
        <w:rPr>
          <w:b/>
          <w:u w:val="single"/>
        </w:rPr>
        <w:t>Spellman 225kV high voltage power supply</w:t>
      </w:r>
    </w:p>
    <w:p w:rsidR="003D3EF5" w:rsidRDefault="003D3EF5" w:rsidP="003D3EF5">
      <w:r>
        <w:t xml:space="preserve">     </w:t>
      </w:r>
    </w:p>
    <w:p w:rsidR="003D3EF5" w:rsidRDefault="003D3EF5" w:rsidP="003D3EF5">
      <w:pPr>
        <w:pStyle w:val="ListParagraph"/>
        <w:numPr>
          <w:ilvl w:val="0"/>
          <w:numId w:val="33"/>
        </w:numPr>
        <w:jc w:val="both"/>
      </w:pPr>
      <w:r>
        <w:t>Turn OFF the power supply using the control software on the control room personal computer</w:t>
      </w:r>
      <w:r w:rsidR="00D17A12">
        <w:t>, or the local interface chassis</w:t>
      </w:r>
    </w:p>
    <w:p w:rsidR="003D3EF5" w:rsidRDefault="003D3EF5" w:rsidP="003D3EF5">
      <w:pPr>
        <w:pStyle w:val="ListParagraph"/>
        <w:numPr>
          <w:ilvl w:val="0"/>
          <w:numId w:val="33"/>
        </w:numPr>
        <w:jc w:val="both"/>
      </w:pPr>
      <w:r>
        <w:t>Set PSS system to Safe</w:t>
      </w:r>
    </w:p>
    <w:p w:rsidR="00684BDA" w:rsidRDefault="00412A98" w:rsidP="00684BDA">
      <w:pPr>
        <w:pStyle w:val="ListParagraph"/>
        <w:numPr>
          <w:ilvl w:val="0"/>
          <w:numId w:val="33"/>
        </w:numPr>
        <w:jc w:val="both"/>
      </w:pPr>
      <w:r>
        <w:t>Walk</w:t>
      </w:r>
      <w:r w:rsidR="0036392B">
        <w:t xml:space="preserve"> behind the electronics racks in the Control Room, and identify the knife switch breaker associated with the North Cave Spellman 225kV high voltage power supply.   Set the knife switch breaker to OFF and apply an administrative lock.  It is now safe to enter the North Cave.</w:t>
      </w:r>
    </w:p>
    <w:p w:rsidR="003D3EF5" w:rsidRPr="003D3EF5" w:rsidRDefault="003D3EF5" w:rsidP="003D3EF5">
      <w:pPr>
        <w:pStyle w:val="ListParagraph"/>
        <w:numPr>
          <w:ilvl w:val="0"/>
          <w:numId w:val="33"/>
        </w:numPr>
        <w:jc w:val="both"/>
      </w:pPr>
      <w:r>
        <w:rPr>
          <w:szCs w:val="24"/>
        </w:rPr>
        <w:t xml:space="preserve">If the </w:t>
      </w:r>
      <w:r w:rsidR="0036392B">
        <w:rPr>
          <w:szCs w:val="24"/>
        </w:rPr>
        <w:t xml:space="preserve">high voltage </w:t>
      </w:r>
      <w:r>
        <w:rPr>
          <w:szCs w:val="24"/>
        </w:rPr>
        <w:t xml:space="preserve">cable is </w:t>
      </w:r>
      <w:r w:rsidR="00B950E9">
        <w:rPr>
          <w:szCs w:val="24"/>
        </w:rPr>
        <w:t xml:space="preserve">to be </w:t>
      </w:r>
      <w:r>
        <w:rPr>
          <w:szCs w:val="24"/>
        </w:rPr>
        <w:t xml:space="preserve">removed from the </w:t>
      </w:r>
      <w:r w:rsidR="0036392B">
        <w:rPr>
          <w:szCs w:val="24"/>
        </w:rPr>
        <w:t xml:space="preserve">HVTS </w:t>
      </w:r>
      <w:r>
        <w:rPr>
          <w:szCs w:val="24"/>
        </w:rPr>
        <w:t xml:space="preserve">vacuum apparatus, the worker must </w:t>
      </w:r>
      <w:r w:rsidR="00684BDA">
        <w:rPr>
          <w:szCs w:val="24"/>
        </w:rPr>
        <w:t>unplug both 208V connectors</w:t>
      </w:r>
      <w:r w:rsidR="003E2227">
        <w:rPr>
          <w:szCs w:val="24"/>
        </w:rPr>
        <w:t xml:space="preserve"> on the Spellman 225kV supply</w:t>
      </w:r>
      <w:r w:rsidR="00684BDA">
        <w:rPr>
          <w:szCs w:val="24"/>
        </w:rPr>
        <w:t xml:space="preserve"> and administratively lock them into the red Hubbell lockout-boxes</w:t>
      </w:r>
      <w:r>
        <w:rPr>
          <w:szCs w:val="24"/>
        </w:rPr>
        <w:t>.  Care must be taken to protect the cable end from contamination by wrapping the cable in a clean poly bag and storing the exposed end</w:t>
      </w:r>
      <w:r w:rsidR="003E2227">
        <w:rPr>
          <w:szCs w:val="24"/>
        </w:rPr>
        <w:t>(s)</w:t>
      </w:r>
      <w:r>
        <w:rPr>
          <w:szCs w:val="24"/>
        </w:rPr>
        <w:t xml:space="preserve"> out of the work area.</w:t>
      </w:r>
      <w:r w:rsidR="003E2227">
        <w:rPr>
          <w:szCs w:val="24"/>
        </w:rPr>
        <w:t xml:space="preserve"> </w:t>
      </w:r>
    </w:p>
    <w:p w:rsidR="003D3EF5" w:rsidRPr="003D3EF5" w:rsidRDefault="003D3EF5" w:rsidP="003D3EF5">
      <w:pPr>
        <w:ind w:left="360"/>
        <w:jc w:val="both"/>
        <w:rPr>
          <w:b/>
        </w:rPr>
      </w:pPr>
    </w:p>
    <w:p w:rsidR="007A186E" w:rsidRPr="007A186E" w:rsidRDefault="007A186E" w:rsidP="007F4FA6">
      <w:pPr>
        <w:pStyle w:val="Heading2"/>
        <w:numPr>
          <w:ilvl w:val="1"/>
          <w:numId w:val="37"/>
        </w:numPr>
      </w:pPr>
      <w:bookmarkStart w:id="13" w:name="_Toc212358847"/>
      <w:r>
        <w:t>More on Ionizing Radiation</w:t>
      </w:r>
      <w:bookmarkEnd w:id="13"/>
      <w:r>
        <w:t xml:space="preserve">  </w:t>
      </w:r>
    </w:p>
    <w:p w:rsidR="008A621C" w:rsidRDefault="008A621C" w:rsidP="008A621C"/>
    <w:p w:rsidR="00F22B48" w:rsidRDefault="00CE19BC" w:rsidP="00F22B48">
      <w:pPr>
        <w:jc w:val="both"/>
      </w:pPr>
      <w:r>
        <w:t>Electrons generated via field emission inside a vacuum chamber</w:t>
      </w:r>
      <w:r w:rsidR="00205997">
        <w:t xml:space="preserve"> -</w:t>
      </w:r>
      <w:r>
        <w:t xml:space="preserve"> with components at high voltage</w:t>
      </w:r>
      <w:r w:rsidR="00205997">
        <w:t xml:space="preserve"> -</w:t>
      </w:r>
      <w:r>
        <w:t xml:space="preserve"> produce x-rays.  </w:t>
      </w:r>
      <w:r w:rsidR="00136B92">
        <w:t>As stated above, n</w:t>
      </w:r>
      <w:r w:rsidR="006C1E8B">
        <w:t>o one is allowed inside the North Cave when high voltage is applied t</w:t>
      </w:r>
      <w:r w:rsidR="00136B92">
        <w:t>o a field emission test stand - t</w:t>
      </w:r>
      <w:r w:rsidR="006C1E8B">
        <w:t xml:space="preserve">he system operator will be inside the Control Room.  </w:t>
      </w:r>
      <w:r w:rsidR="00136B92">
        <w:t xml:space="preserve">The following measures/requirements help to ensure that occupants of the Control Room, the </w:t>
      </w:r>
      <w:r w:rsidR="006C1E8B">
        <w:t>South Cave</w:t>
      </w:r>
      <w:r w:rsidR="00136B92">
        <w:t xml:space="preserve"> and other areas near the Test Cave are safe;</w:t>
      </w:r>
    </w:p>
    <w:p w:rsidR="008A621C" w:rsidRDefault="008A621C" w:rsidP="008A621C">
      <w:pPr>
        <w:pStyle w:val="Header"/>
        <w:tabs>
          <w:tab w:val="clear" w:pos="4320"/>
          <w:tab w:val="clear" w:pos="8640"/>
        </w:tabs>
        <w:jc w:val="both"/>
      </w:pPr>
    </w:p>
    <w:p w:rsidR="00136B92" w:rsidRDefault="00136B92" w:rsidP="008A621C">
      <w:pPr>
        <w:pStyle w:val="Header"/>
        <w:numPr>
          <w:ilvl w:val="0"/>
          <w:numId w:val="24"/>
        </w:numPr>
        <w:tabs>
          <w:tab w:val="clear" w:pos="4320"/>
          <w:tab w:val="clear" w:pos="8640"/>
        </w:tabs>
        <w:jc w:val="both"/>
      </w:pPr>
      <w:r>
        <w:t xml:space="preserve">For all cathode electrodes, high voltage power supply settings will be adjusted to limit field emission current to approximately 1uA.  </w:t>
      </w:r>
    </w:p>
    <w:p w:rsidR="008A621C" w:rsidRDefault="00F72AE1" w:rsidP="008A621C">
      <w:pPr>
        <w:pStyle w:val="Header"/>
        <w:numPr>
          <w:ilvl w:val="0"/>
          <w:numId w:val="24"/>
        </w:numPr>
        <w:tabs>
          <w:tab w:val="clear" w:pos="4320"/>
          <w:tab w:val="clear" w:pos="8640"/>
        </w:tabs>
        <w:jc w:val="both"/>
      </w:pPr>
      <w:r>
        <w:t>The Test Cave is constructed from c</w:t>
      </w:r>
      <w:r w:rsidR="008A621C">
        <w:t xml:space="preserve">oncrete </w:t>
      </w:r>
      <w:r>
        <w:t>blocks</w:t>
      </w:r>
      <w:r w:rsidR="008A621C">
        <w:t xml:space="preserve"> at least 12” thick</w:t>
      </w:r>
      <w:r w:rsidR="00136B92">
        <w:t xml:space="preserve">.  </w:t>
      </w:r>
      <w:r w:rsidR="008A621C">
        <w:t xml:space="preserve"> </w:t>
      </w:r>
    </w:p>
    <w:p w:rsidR="008A621C" w:rsidRDefault="00136B92" w:rsidP="00136B92">
      <w:pPr>
        <w:pStyle w:val="Header"/>
        <w:numPr>
          <w:ilvl w:val="0"/>
          <w:numId w:val="24"/>
        </w:numPr>
        <w:tabs>
          <w:tab w:val="clear" w:pos="4320"/>
          <w:tab w:val="clear" w:pos="8640"/>
        </w:tabs>
        <w:jc w:val="both"/>
      </w:pPr>
      <w:r>
        <w:t>A lead-</w:t>
      </w:r>
      <w:r w:rsidR="008A621C">
        <w:t xml:space="preserve">lined wall separates the North Cave and the South Cave. There are two layers of 1/16” lead sheet bonded to sheet rock in this wall, and a lead lined door. </w:t>
      </w:r>
    </w:p>
    <w:p w:rsidR="008A621C" w:rsidRDefault="00136B92" w:rsidP="008A621C">
      <w:pPr>
        <w:pStyle w:val="Header"/>
        <w:numPr>
          <w:ilvl w:val="0"/>
          <w:numId w:val="25"/>
        </w:numPr>
        <w:tabs>
          <w:tab w:val="clear" w:pos="4320"/>
          <w:tab w:val="clear" w:pos="8640"/>
        </w:tabs>
        <w:jc w:val="both"/>
      </w:pPr>
      <w:r>
        <w:t xml:space="preserve">Occupants of the South Cave </w:t>
      </w:r>
      <w:r w:rsidR="008A621C">
        <w:t xml:space="preserve">are required to wear dosimeters when the North Cave is capable of high voltage.  </w:t>
      </w:r>
    </w:p>
    <w:p w:rsidR="00205997" w:rsidRDefault="00205997" w:rsidP="008A621C">
      <w:pPr>
        <w:pStyle w:val="Header"/>
        <w:numPr>
          <w:ilvl w:val="0"/>
          <w:numId w:val="25"/>
        </w:numPr>
        <w:tabs>
          <w:tab w:val="clear" w:pos="4320"/>
          <w:tab w:val="clear" w:pos="8640"/>
        </w:tabs>
        <w:jc w:val="both"/>
      </w:pPr>
      <w:r>
        <w:t xml:space="preserve">The Radiation Control Group will be contacted in advance </w:t>
      </w:r>
      <w:r w:rsidR="00365B9B">
        <w:t>whenever</w:t>
      </w:r>
      <w:r>
        <w:t xml:space="preserve"> test conditions (particularly voltage and current</w:t>
      </w:r>
      <w:r w:rsidR="00365B9B">
        <w:t xml:space="preserve"> settings</w:t>
      </w:r>
      <w:r>
        <w:t xml:space="preserve">) are </w:t>
      </w:r>
      <w:r w:rsidR="00365B9B">
        <w:t xml:space="preserve">expected </w:t>
      </w:r>
      <w:r>
        <w:t xml:space="preserve">to exceed </w:t>
      </w:r>
      <w:r>
        <w:lastRenderedPageBreak/>
        <w:t>typical values</w:t>
      </w:r>
      <w:r w:rsidR="007F4FA6">
        <w:t>, corresponding to field emission ~ 10uA and bias voltage ~ 200kV</w:t>
      </w:r>
      <w:r>
        <w:t xml:space="preserve">.  </w:t>
      </w:r>
      <w:proofErr w:type="spellStart"/>
      <w:r>
        <w:t>Rad</w:t>
      </w:r>
      <w:proofErr w:type="spellEnd"/>
      <w:r>
        <w:t xml:space="preserve"> Con will verify that the lead-lined wall provides adequate shielding under these new conditions.</w:t>
      </w:r>
    </w:p>
    <w:p w:rsidR="00136B92" w:rsidRDefault="00136B92" w:rsidP="00136B92">
      <w:pPr>
        <w:pStyle w:val="Header"/>
        <w:numPr>
          <w:ilvl w:val="0"/>
          <w:numId w:val="25"/>
        </w:numPr>
        <w:tabs>
          <w:tab w:val="clear" w:pos="4320"/>
          <w:tab w:val="clear" w:pos="8640"/>
        </w:tabs>
        <w:jc w:val="both"/>
      </w:pPr>
      <w:r>
        <w:t xml:space="preserve">Magenta beacons are activated outside the North Cave when PSS interlocks are armed, indicating potential for ionizing radiation inside the cave.  </w:t>
      </w:r>
    </w:p>
    <w:p w:rsidR="00136B92" w:rsidRDefault="00136B92" w:rsidP="00136B92">
      <w:pPr>
        <w:pStyle w:val="Header"/>
        <w:numPr>
          <w:ilvl w:val="0"/>
          <w:numId w:val="25"/>
        </w:numPr>
        <w:tabs>
          <w:tab w:val="clear" w:pos="4320"/>
          <w:tab w:val="clear" w:pos="8640"/>
        </w:tabs>
        <w:jc w:val="both"/>
      </w:pPr>
      <w:r>
        <w:t xml:space="preserve">An alarming radiation monitor (CARM) in the South Cave will alert occupants to unsafe levels of radiation.  </w:t>
      </w:r>
    </w:p>
    <w:p w:rsidR="00136B92" w:rsidRDefault="00136B92" w:rsidP="00136B92">
      <w:pPr>
        <w:pStyle w:val="Header"/>
        <w:numPr>
          <w:ilvl w:val="0"/>
          <w:numId w:val="25"/>
        </w:numPr>
        <w:tabs>
          <w:tab w:val="clear" w:pos="4320"/>
          <w:tab w:val="clear" w:pos="8640"/>
        </w:tabs>
        <w:jc w:val="both"/>
      </w:pPr>
      <w:r>
        <w:t xml:space="preserve">A beam permit warning light </w:t>
      </w:r>
      <w:r w:rsidR="00365B9B">
        <w:t>located at both entryways</w:t>
      </w:r>
      <w:r>
        <w:t xml:space="preserve"> indicates the status of the </w:t>
      </w:r>
      <w:r w:rsidR="00365B9B">
        <w:t xml:space="preserve">North </w:t>
      </w:r>
      <w:r>
        <w:t>Cave</w:t>
      </w:r>
    </w:p>
    <w:p w:rsidR="00DF15F2" w:rsidRDefault="008A621C" w:rsidP="008A621C">
      <w:pPr>
        <w:pStyle w:val="Header"/>
        <w:numPr>
          <w:ilvl w:val="0"/>
          <w:numId w:val="25"/>
        </w:numPr>
        <w:tabs>
          <w:tab w:val="clear" w:pos="4320"/>
          <w:tab w:val="clear" w:pos="8640"/>
        </w:tabs>
        <w:jc w:val="both"/>
      </w:pPr>
      <w:r>
        <w:t xml:space="preserve">A Run/Safe box with </w:t>
      </w:r>
      <w:r w:rsidR="00DF15F2">
        <w:t>crash switch and illuminated status display.</w:t>
      </w:r>
    </w:p>
    <w:p w:rsidR="00DF15F2" w:rsidRDefault="00DF15F2" w:rsidP="00DF15F2">
      <w:pPr>
        <w:pStyle w:val="Header"/>
        <w:tabs>
          <w:tab w:val="clear" w:pos="4320"/>
          <w:tab w:val="clear" w:pos="8640"/>
        </w:tabs>
        <w:jc w:val="both"/>
      </w:pPr>
    </w:p>
    <w:p w:rsidR="00DF15F2" w:rsidRDefault="00DF15F2" w:rsidP="00DF15F2">
      <w:pPr>
        <w:pStyle w:val="Header"/>
        <w:tabs>
          <w:tab w:val="clear" w:pos="4320"/>
          <w:tab w:val="clear" w:pos="8640"/>
        </w:tabs>
      </w:pPr>
      <w:r>
        <w:t>There is also a CARM installed in the North Cave to alert occupants of unsafe levels of radiation generated in the South Cave.</w:t>
      </w:r>
    </w:p>
    <w:p w:rsidR="008A621C" w:rsidRDefault="008A621C" w:rsidP="00DF15F2">
      <w:pPr>
        <w:pStyle w:val="Header"/>
        <w:tabs>
          <w:tab w:val="clear" w:pos="4320"/>
          <w:tab w:val="clear" w:pos="8640"/>
        </w:tabs>
        <w:jc w:val="both"/>
      </w:pPr>
      <w:r>
        <w:t xml:space="preserve"> </w:t>
      </w:r>
    </w:p>
    <w:p w:rsidR="008A621C" w:rsidRDefault="008A621C" w:rsidP="008A621C">
      <w:pPr>
        <w:pStyle w:val="Header"/>
        <w:tabs>
          <w:tab w:val="clear" w:pos="4320"/>
          <w:tab w:val="clear" w:pos="8640"/>
        </w:tabs>
      </w:pPr>
    </w:p>
    <w:p w:rsidR="005B720F" w:rsidRDefault="005B720F">
      <w:pPr>
        <w:pStyle w:val="Heading1"/>
      </w:pPr>
      <w:bookmarkStart w:id="14" w:name="_Toc212358848"/>
      <w:r>
        <w:t>Staffing</w:t>
      </w:r>
      <w:bookmarkEnd w:id="14"/>
    </w:p>
    <w:p w:rsidR="005B720F" w:rsidRDefault="005B720F">
      <w:pPr>
        <w:pStyle w:val="Heading2"/>
      </w:pPr>
      <w:bookmarkStart w:id="15" w:name="_Toc212358849"/>
      <w:r>
        <w:t>Responsibility and Authority</w:t>
      </w:r>
      <w:bookmarkEnd w:id="15"/>
    </w:p>
    <w:p w:rsidR="00830EEF" w:rsidRPr="00830EEF" w:rsidRDefault="00830EEF" w:rsidP="007020A3">
      <w:pPr>
        <w:jc w:val="both"/>
      </w:pPr>
      <w:r>
        <w:t>Only trained personnel can use the Field Emission Test Stands.</w:t>
      </w:r>
      <w:r w:rsidR="007020A3">
        <w:t xml:space="preserve">  </w:t>
      </w:r>
      <w:r w:rsidR="008A621C">
        <w:t xml:space="preserve">Only the </w:t>
      </w:r>
      <w:r w:rsidR="007020A3">
        <w:t xml:space="preserve">Source Group Leader or Deputy </w:t>
      </w:r>
      <w:r w:rsidR="008A621C">
        <w:t xml:space="preserve">can </w:t>
      </w:r>
      <w:r w:rsidR="007020A3">
        <w:t>grant authorization to use the Field Emission Test Stands.</w:t>
      </w:r>
    </w:p>
    <w:p w:rsidR="008A621C" w:rsidRDefault="005B720F" w:rsidP="008A621C">
      <w:pPr>
        <w:pStyle w:val="Heading2"/>
      </w:pPr>
      <w:bookmarkStart w:id="16" w:name="_Toc212358850"/>
      <w:r>
        <w:t>Training and Qualifications</w:t>
      </w:r>
      <w:bookmarkEnd w:id="16"/>
    </w:p>
    <w:p w:rsidR="007020A3" w:rsidRPr="008A621C" w:rsidRDefault="007020A3" w:rsidP="008A621C">
      <w:pPr>
        <w:pStyle w:val="Heading1"/>
        <w:numPr>
          <w:ilvl w:val="0"/>
          <w:numId w:val="0"/>
        </w:numPr>
        <w:rPr>
          <w:rFonts w:ascii="Times New Roman" w:hAnsi="Times New Roman"/>
          <w:b w:val="0"/>
          <w:sz w:val="24"/>
          <w:szCs w:val="24"/>
        </w:rPr>
      </w:pPr>
      <w:bookmarkStart w:id="17" w:name="_Toc212357633"/>
      <w:bookmarkStart w:id="18" w:name="_Toc212358851"/>
      <w:r w:rsidRPr="008A621C">
        <w:rPr>
          <w:rFonts w:ascii="Times New Roman" w:hAnsi="Times New Roman"/>
          <w:b w:val="0"/>
          <w:sz w:val="24"/>
          <w:szCs w:val="24"/>
        </w:rPr>
        <w:t>All North Cave System Operators must have the following training:</w:t>
      </w:r>
      <w:bookmarkEnd w:id="17"/>
      <w:bookmarkEnd w:id="18"/>
    </w:p>
    <w:p w:rsidR="007020A3" w:rsidRDefault="007020A3" w:rsidP="008A621C">
      <w:pPr>
        <w:numPr>
          <w:ilvl w:val="0"/>
          <w:numId w:val="21"/>
        </w:numPr>
        <w:tabs>
          <w:tab w:val="clear" w:pos="810"/>
          <w:tab w:val="num" w:pos="180"/>
        </w:tabs>
        <w:ind w:left="180" w:hanging="180"/>
        <w:jc w:val="both"/>
      </w:pPr>
      <w:r>
        <w:t>Radiation worker I</w:t>
      </w:r>
    </w:p>
    <w:p w:rsidR="007020A3" w:rsidRDefault="007020A3" w:rsidP="008A621C">
      <w:pPr>
        <w:numPr>
          <w:ilvl w:val="0"/>
          <w:numId w:val="21"/>
        </w:numPr>
        <w:tabs>
          <w:tab w:val="clear" w:pos="810"/>
          <w:tab w:val="num" w:pos="180"/>
        </w:tabs>
        <w:ind w:left="180" w:hanging="180"/>
        <w:jc w:val="both"/>
      </w:pPr>
      <w:r>
        <w:t>LOTO</w:t>
      </w:r>
    </w:p>
    <w:p w:rsidR="007020A3" w:rsidRDefault="007020A3" w:rsidP="008A621C">
      <w:pPr>
        <w:numPr>
          <w:ilvl w:val="0"/>
          <w:numId w:val="21"/>
        </w:numPr>
        <w:tabs>
          <w:tab w:val="clear" w:pos="810"/>
          <w:tab w:val="num" w:pos="270"/>
        </w:tabs>
        <w:ind w:left="180" w:hanging="180"/>
        <w:jc w:val="both"/>
      </w:pPr>
      <w:r>
        <w:t>Training on this SOP</w:t>
      </w:r>
    </w:p>
    <w:p w:rsidR="00DF15F2" w:rsidRDefault="00DF15F2" w:rsidP="00DF15F2">
      <w:pPr>
        <w:numPr>
          <w:ilvl w:val="0"/>
          <w:numId w:val="21"/>
        </w:numPr>
        <w:tabs>
          <w:tab w:val="clear" w:pos="810"/>
          <w:tab w:val="num" w:pos="180"/>
        </w:tabs>
        <w:ind w:left="180" w:hanging="180"/>
        <w:jc w:val="both"/>
      </w:pPr>
      <w:r>
        <w:t xml:space="preserve">ODH:  Dry nitrogen gas is used in both </w:t>
      </w:r>
      <w:r w:rsidR="00213C5A">
        <w:t xml:space="preserve">Test </w:t>
      </w:r>
      <w:r>
        <w:t xml:space="preserve">Cave workspaces </w:t>
      </w:r>
      <w:r w:rsidR="00213C5A">
        <w:t xml:space="preserve">(North and South) </w:t>
      </w:r>
      <w:r>
        <w:t xml:space="preserve">for venting ultrahigh vacuum chambers to atmospheric pressure.  An ODH hazard exists if Test Cave ventilation systems are not functioning properly, for example during a power outage.  ODH hazards for the Test Cave are described in </w:t>
      </w:r>
      <w:r w:rsidR="00AC0073">
        <w:t xml:space="preserve">a </w:t>
      </w:r>
      <w:r>
        <w:t xml:space="preserve">separate </w:t>
      </w:r>
      <w:r w:rsidR="00AC0073">
        <w:t>“facilities</w:t>
      </w:r>
      <w:r w:rsidR="008573FF">
        <w:t>-specific</w:t>
      </w:r>
      <w:r w:rsidR="00AC0073">
        <w:t xml:space="preserve">” </w:t>
      </w:r>
      <w:r>
        <w:t xml:space="preserve">SOP </w:t>
      </w:r>
      <w:r w:rsidR="009630C9">
        <w:t>(ref# SOP-XXX</w:t>
      </w:r>
      <w:r w:rsidR="007F4FA6">
        <w:t>, being written by M. Stutzman</w:t>
      </w:r>
      <w:r w:rsidR="009630C9">
        <w:t xml:space="preserve">) </w:t>
      </w:r>
      <w:r w:rsidR="00AC0073">
        <w:t>devoted to describing a broad range of hazards that can be encountered at the Test Cave.</w:t>
      </w:r>
    </w:p>
    <w:p w:rsidR="00AC0073" w:rsidRDefault="00AC0073" w:rsidP="00DF15F2">
      <w:pPr>
        <w:jc w:val="both"/>
      </w:pPr>
    </w:p>
    <w:p w:rsidR="00DF15F2" w:rsidRDefault="00DF15F2" w:rsidP="00DF15F2">
      <w:pPr>
        <w:jc w:val="both"/>
      </w:pPr>
      <w:r>
        <w:t xml:space="preserve">All South Cave System Operators must be trained on the requirements for </w:t>
      </w:r>
      <w:proofErr w:type="spellStart"/>
      <w:r>
        <w:t>dosimetry</w:t>
      </w:r>
      <w:proofErr w:type="spellEnd"/>
      <w:r>
        <w:t xml:space="preserve"> and procedures if the South Cave CARM alarms</w:t>
      </w:r>
      <w:r w:rsidR="00213C5A">
        <w:t>.</w:t>
      </w:r>
    </w:p>
    <w:p w:rsidR="008A621C" w:rsidRDefault="008A621C" w:rsidP="008A621C">
      <w:pPr>
        <w:jc w:val="both"/>
      </w:pPr>
    </w:p>
    <w:p w:rsidR="005B720F" w:rsidRDefault="005B720F">
      <w:pPr>
        <w:pStyle w:val="Heading1"/>
      </w:pPr>
      <w:bookmarkStart w:id="19" w:name="_Toc212358852"/>
      <w:r>
        <w:t>Safety Systems and Equipment</w:t>
      </w:r>
      <w:bookmarkEnd w:id="19"/>
    </w:p>
    <w:p w:rsidR="001B3337" w:rsidRDefault="001B3337" w:rsidP="005F2F88">
      <w:pPr>
        <w:jc w:val="both"/>
      </w:pPr>
    </w:p>
    <w:p w:rsidR="00DD3A37" w:rsidRDefault="00B62B01" w:rsidP="005F2F88">
      <w:pPr>
        <w:jc w:val="both"/>
      </w:pPr>
      <w:r>
        <w:t xml:space="preserve">The high voltage power supplies are interlocked to the PSS via an interlock chain.  </w:t>
      </w:r>
      <w:r w:rsidR="00DD3A37">
        <w:t>S</w:t>
      </w:r>
      <w:r w:rsidR="00B33A42">
        <w:t xml:space="preserve">chematic diagrams </w:t>
      </w:r>
      <w:r w:rsidR="00EF32A7">
        <w:t>of the supply interlock chain</w:t>
      </w:r>
      <w:r>
        <w:t>s</w:t>
      </w:r>
      <w:r w:rsidR="00EF32A7">
        <w:t xml:space="preserve"> can be found at </w:t>
      </w:r>
      <w:r w:rsidR="00DD3A37">
        <w:t xml:space="preserve">the bottom of this document but higher quality drawings can be found at </w:t>
      </w:r>
      <w:r w:rsidR="00EF32A7">
        <w:t xml:space="preserve">the Source Group web page: </w:t>
      </w:r>
      <w:hyperlink r:id="rId17" w:history="1">
        <w:r w:rsidR="00EF32A7" w:rsidRPr="002C064F">
          <w:rPr>
            <w:rStyle w:val="Hyperlink"/>
          </w:rPr>
          <w:t>http://www.jlab.org/accel/inj_group/pdf/elec/fets.html</w:t>
        </w:r>
      </w:hyperlink>
      <w:r w:rsidR="00DD3A37">
        <w:t>.</w:t>
      </w:r>
      <w:r w:rsidR="00EF32A7">
        <w:t xml:space="preserve"> </w:t>
      </w:r>
    </w:p>
    <w:p w:rsidR="00DD3A37" w:rsidRDefault="00DD3A37" w:rsidP="005F2F88">
      <w:pPr>
        <w:jc w:val="both"/>
      </w:pPr>
    </w:p>
    <w:p w:rsidR="0040240B" w:rsidRDefault="005F2F88" w:rsidP="005F2F88">
      <w:pPr>
        <w:jc w:val="both"/>
      </w:pPr>
      <w:r>
        <w:t>The interlock</w:t>
      </w:r>
      <w:r w:rsidR="00EF32A7">
        <w:t xml:space="preserve"> design </w:t>
      </w:r>
      <w:r>
        <w:t>requires A&amp;B chains, high-voltage cable integrity verification, and manual arming after sweep.  The circuit</w:t>
      </w:r>
      <w:r w:rsidR="00EF32A7">
        <w:t>s</w:t>
      </w:r>
      <w:r>
        <w:t xml:space="preserve"> </w:t>
      </w:r>
      <w:r w:rsidR="00EF32A7">
        <w:t>are fail-safe and provide</w:t>
      </w:r>
      <w:r>
        <w:t xml:space="preserve"> anti-restart functionality.  </w:t>
      </w:r>
      <w:r w:rsidR="00EF32A7">
        <w:t xml:space="preserve">J. </w:t>
      </w:r>
      <w:proofErr w:type="spellStart"/>
      <w:r w:rsidR="00EF32A7">
        <w:t>Hansknecht</w:t>
      </w:r>
      <w:proofErr w:type="spellEnd"/>
      <w:r w:rsidR="00EF32A7">
        <w:t xml:space="preserve"> is the “system owner” of the high voltage power supplies and interlock circuitry</w:t>
      </w:r>
      <w:r>
        <w:t>.</w:t>
      </w:r>
    </w:p>
    <w:p w:rsidR="001B3337" w:rsidRDefault="001B3337" w:rsidP="005F2F88">
      <w:pPr>
        <w:jc w:val="both"/>
      </w:pPr>
    </w:p>
    <w:p w:rsidR="001B3337" w:rsidRPr="001B3337" w:rsidRDefault="001B3337" w:rsidP="005F2F88">
      <w:pPr>
        <w:jc w:val="both"/>
        <w:rPr>
          <w:color w:val="FF0000"/>
        </w:rPr>
      </w:pPr>
      <w:r>
        <w:t>The PSS is certified semi-annually. A valid certification must be in place in order to carry out activities in this SOP.</w:t>
      </w:r>
    </w:p>
    <w:p w:rsidR="008573FF" w:rsidRDefault="008573FF" w:rsidP="005F2F88">
      <w:pPr>
        <w:jc w:val="both"/>
      </w:pPr>
    </w:p>
    <w:p w:rsidR="008573FF" w:rsidRDefault="00E6211C" w:rsidP="005F2F88">
      <w:pPr>
        <w:jc w:val="both"/>
      </w:pPr>
      <w:r>
        <w:t xml:space="preserve">A CARM is </w:t>
      </w:r>
      <w:r w:rsidR="008573FF">
        <w:t>located in both the North and South Cave.  Probes are placed at the dividing wall.  Each CARM alerts occupants of an area to high radiation dose rates originating from the adjoining area; e.g. the South Cave CARM alerts personnel to radiation generated in the North Cave.</w:t>
      </w:r>
      <w:r>
        <w:t xml:space="preserve">  If a</w:t>
      </w:r>
      <w:r w:rsidR="00FF6C30">
        <w:t xml:space="preserve"> CARM emits an audible alarm, occupants must leave the Test Cave and report to the Test Cave Control Room.  High voltage power supplies </w:t>
      </w:r>
      <w:r w:rsidR="00233EA6">
        <w:t>must</w:t>
      </w:r>
      <w:r w:rsidR="00FF6C30">
        <w:t xml:space="preserve"> be turned OFF and the Radiation Control Group notified for evaluation. More below under </w:t>
      </w:r>
      <w:r w:rsidR="00FF6C30" w:rsidRPr="00FF6C30">
        <w:rPr>
          <w:b/>
        </w:rPr>
        <w:t>Procedures</w:t>
      </w:r>
      <w:r w:rsidR="00FF6C30">
        <w:t xml:space="preserve"> </w:t>
      </w:r>
    </w:p>
    <w:p w:rsidR="005B720F" w:rsidRDefault="005B720F">
      <w:pPr>
        <w:pStyle w:val="Heading1"/>
      </w:pPr>
      <w:bookmarkStart w:id="20" w:name="_Toc212358853"/>
      <w:r>
        <w:t>Procedures</w:t>
      </w:r>
      <w:bookmarkEnd w:id="20"/>
    </w:p>
    <w:p w:rsidR="005B720F" w:rsidRDefault="005B720F">
      <w:pPr>
        <w:pStyle w:val="Heading2"/>
      </w:pPr>
      <w:bookmarkStart w:id="21" w:name="_Toc212358854"/>
      <w:r>
        <w:t>Operating Procedures</w:t>
      </w:r>
      <w:bookmarkEnd w:id="21"/>
    </w:p>
    <w:p w:rsidR="003C3AC5" w:rsidRDefault="00672AD6" w:rsidP="0094749E">
      <w:pPr>
        <w:pStyle w:val="Heading3"/>
      </w:pPr>
      <w:bookmarkStart w:id="22" w:name="_Toc212358855"/>
      <w:r w:rsidRPr="00C60B95">
        <w:rPr>
          <w:szCs w:val="24"/>
        </w:rPr>
        <w:t xml:space="preserve">Sweeping the North </w:t>
      </w:r>
      <w:r w:rsidR="007B7616" w:rsidRPr="00C60B95">
        <w:rPr>
          <w:szCs w:val="24"/>
        </w:rPr>
        <w:t>Cave</w:t>
      </w:r>
      <w:bookmarkEnd w:id="22"/>
    </w:p>
    <w:p w:rsidR="00672AD6" w:rsidRDefault="003C3AC5" w:rsidP="00AD5F7B">
      <w:pPr>
        <w:pStyle w:val="Header"/>
        <w:numPr>
          <w:ilvl w:val="0"/>
          <w:numId w:val="16"/>
        </w:numPr>
        <w:tabs>
          <w:tab w:val="clear" w:pos="0"/>
          <w:tab w:val="clear" w:pos="4320"/>
          <w:tab w:val="clear" w:pos="8640"/>
          <w:tab w:val="num" w:pos="360"/>
          <w:tab w:val="num" w:pos="1080"/>
        </w:tabs>
        <w:ind w:left="1080"/>
        <w:jc w:val="both"/>
      </w:pPr>
      <w:r>
        <w:t>Inform North Cave occupants to leave the area, inform South Cave occupants of your intention to perform field emission measurements at the North Cave.</w:t>
      </w:r>
      <w:r w:rsidR="00273A00">
        <w:t xml:space="preserve">  South Cave personnel must have </w:t>
      </w:r>
      <w:proofErr w:type="spellStart"/>
      <w:r w:rsidR="008573FF">
        <w:t>dosimetry</w:t>
      </w:r>
      <w:proofErr w:type="spellEnd"/>
      <w:r w:rsidR="00273A00">
        <w:t xml:space="preserve"> to remain inside South Cave.</w:t>
      </w:r>
    </w:p>
    <w:p w:rsidR="00D57E43" w:rsidRDefault="0094749E" w:rsidP="00AD5F7B">
      <w:pPr>
        <w:pStyle w:val="Header"/>
        <w:numPr>
          <w:ilvl w:val="0"/>
          <w:numId w:val="16"/>
        </w:numPr>
        <w:tabs>
          <w:tab w:val="clear" w:pos="0"/>
          <w:tab w:val="clear" w:pos="4320"/>
          <w:tab w:val="clear" w:pos="8640"/>
          <w:tab w:val="num" w:pos="360"/>
          <w:tab w:val="num" w:pos="1080"/>
        </w:tabs>
        <w:ind w:left="1080"/>
        <w:jc w:val="both"/>
      </w:pPr>
      <w:r>
        <w:t xml:space="preserve">The Sweeper should check the status of the CARMs at the North and South Cave.  </w:t>
      </w:r>
      <w:r w:rsidR="00D57E43">
        <w:t>Check the status of the CARM by pressing the “test” button and listen for audible alarm</w:t>
      </w:r>
      <w:r>
        <w:t>.</w:t>
      </w:r>
      <w:r w:rsidR="00D57E43">
        <w:t xml:space="preserve">  </w:t>
      </w:r>
      <w:r>
        <w:t xml:space="preserve"> </w:t>
      </w:r>
      <w:r w:rsidR="00273A00">
        <w:t xml:space="preserve"> </w:t>
      </w:r>
    </w:p>
    <w:p w:rsidR="00090E83" w:rsidRDefault="00090E83" w:rsidP="00AD5F7B">
      <w:pPr>
        <w:pStyle w:val="Header"/>
        <w:numPr>
          <w:ilvl w:val="0"/>
          <w:numId w:val="16"/>
        </w:numPr>
        <w:tabs>
          <w:tab w:val="clear" w:pos="0"/>
          <w:tab w:val="clear" w:pos="4320"/>
          <w:tab w:val="clear" w:pos="8640"/>
          <w:tab w:val="num" w:pos="360"/>
          <w:tab w:val="num" w:pos="1080"/>
        </w:tabs>
        <w:ind w:left="1080"/>
        <w:jc w:val="both"/>
      </w:pPr>
      <w:r>
        <w:t xml:space="preserve">Close </w:t>
      </w:r>
      <w:r w:rsidR="00273A00">
        <w:t>all</w:t>
      </w:r>
      <w:r>
        <w:t xml:space="preserve"> doors to the North Cave and return </w:t>
      </w:r>
      <w:r w:rsidR="00D57E43">
        <w:t>to the Control Room.  T</w:t>
      </w:r>
      <w:r>
        <w:t xml:space="preserve">urn the PSS key </w:t>
      </w:r>
      <w:r w:rsidR="00D57E43">
        <w:t>to sweep mode,</w:t>
      </w:r>
      <w:r>
        <w:t xml:space="preserve"> press the red “initiate sweep” button.</w:t>
      </w:r>
    </w:p>
    <w:p w:rsidR="00090E83" w:rsidRDefault="00090E83" w:rsidP="00AD5F7B">
      <w:pPr>
        <w:pStyle w:val="Header"/>
        <w:numPr>
          <w:ilvl w:val="0"/>
          <w:numId w:val="16"/>
        </w:numPr>
        <w:tabs>
          <w:tab w:val="clear" w:pos="0"/>
          <w:tab w:val="clear" w:pos="4320"/>
          <w:tab w:val="clear" w:pos="8640"/>
          <w:tab w:val="num" w:pos="360"/>
          <w:tab w:val="num" w:pos="1080"/>
        </w:tabs>
        <w:ind w:left="1080"/>
        <w:jc w:val="both"/>
      </w:pPr>
      <w:r>
        <w:t>Enter the North Cave</w:t>
      </w:r>
      <w:r w:rsidR="00273A00">
        <w:t xml:space="preserve"> with sweep key</w:t>
      </w:r>
      <w:r>
        <w:t>, closing the double doors behind you.</w:t>
      </w:r>
    </w:p>
    <w:p w:rsidR="007826A8" w:rsidRDefault="00090E83" w:rsidP="00AD5F7B">
      <w:pPr>
        <w:numPr>
          <w:ilvl w:val="0"/>
          <w:numId w:val="16"/>
        </w:numPr>
        <w:tabs>
          <w:tab w:val="clear" w:pos="0"/>
          <w:tab w:val="num" w:pos="360"/>
          <w:tab w:val="num" w:pos="1080"/>
        </w:tabs>
        <w:ind w:left="1080"/>
        <w:jc w:val="both"/>
      </w:pPr>
      <w:r>
        <w:t>Verify</w:t>
      </w:r>
      <w:r w:rsidR="0094749E">
        <w:t xml:space="preserve"> </w:t>
      </w:r>
      <w:r w:rsidR="00D57E43">
        <w:t>that no on</w:t>
      </w:r>
      <w:r w:rsidR="00D72AFF">
        <w:t>e</w:t>
      </w:r>
      <w:r w:rsidR="00D57E43">
        <w:t xml:space="preserve"> is in the North Cave and that </w:t>
      </w:r>
      <w:r w:rsidR="0094749E">
        <w:t xml:space="preserve">the lead-lined door </w:t>
      </w:r>
      <w:r w:rsidR="00D57E43">
        <w:t xml:space="preserve">to South Cave </w:t>
      </w:r>
      <w:r>
        <w:t>is closed</w:t>
      </w:r>
    </w:p>
    <w:p w:rsidR="00090E83" w:rsidRDefault="0036392B" w:rsidP="00AD5F7B">
      <w:pPr>
        <w:numPr>
          <w:ilvl w:val="0"/>
          <w:numId w:val="16"/>
        </w:numPr>
        <w:tabs>
          <w:tab w:val="clear" w:pos="0"/>
          <w:tab w:val="num" w:pos="360"/>
          <w:tab w:val="num" w:pos="1080"/>
        </w:tabs>
        <w:ind w:left="1080"/>
        <w:jc w:val="both"/>
      </w:pPr>
      <w:r>
        <w:t>Verify that the</w:t>
      </w:r>
      <w:r w:rsidR="007826A8">
        <w:t xml:space="preserve"> 208VAC breaker </w:t>
      </w:r>
      <w:r>
        <w:t>inside the North Cave is</w:t>
      </w:r>
      <w:r w:rsidR="007826A8">
        <w:t xml:space="preserve"> set to ON.</w:t>
      </w:r>
      <w:r w:rsidR="00273A00">
        <w:t xml:space="preserve"> </w:t>
      </w:r>
    </w:p>
    <w:p w:rsidR="00672AD6" w:rsidRDefault="0094749E" w:rsidP="00AD5F7B">
      <w:pPr>
        <w:numPr>
          <w:ilvl w:val="0"/>
          <w:numId w:val="16"/>
        </w:numPr>
        <w:tabs>
          <w:tab w:val="clear" w:pos="0"/>
          <w:tab w:val="num" w:pos="360"/>
          <w:tab w:val="num" w:pos="1080"/>
        </w:tabs>
        <w:ind w:left="1080"/>
        <w:jc w:val="both"/>
      </w:pPr>
      <w:r>
        <w:t>A</w:t>
      </w:r>
      <w:r w:rsidR="00672AD6">
        <w:t xml:space="preserve">rm the Crash Box </w:t>
      </w:r>
      <w:r w:rsidR="003C3AC5">
        <w:t xml:space="preserve">at the North Cave double-door </w:t>
      </w:r>
      <w:r w:rsidR="00672AD6">
        <w:t xml:space="preserve">– </w:t>
      </w:r>
      <w:r w:rsidR="003C3AC5">
        <w:t xml:space="preserve">note that </w:t>
      </w:r>
      <w:r w:rsidR="00672AD6">
        <w:t xml:space="preserve">LED </w:t>
      </w:r>
      <w:r w:rsidR="003C3AC5">
        <w:t xml:space="preserve">indicator </w:t>
      </w:r>
      <w:r w:rsidR="00672AD6">
        <w:t xml:space="preserve">turns from red to green. </w:t>
      </w:r>
    </w:p>
    <w:p w:rsidR="003C3AC5" w:rsidRDefault="00273A00" w:rsidP="00AD5F7B">
      <w:pPr>
        <w:numPr>
          <w:ilvl w:val="0"/>
          <w:numId w:val="16"/>
        </w:numPr>
        <w:tabs>
          <w:tab w:val="clear" w:pos="0"/>
          <w:tab w:val="num" w:pos="360"/>
          <w:tab w:val="num" w:pos="1080"/>
        </w:tabs>
        <w:ind w:left="1080"/>
        <w:jc w:val="both"/>
      </w:pPr>
      <w:r>
        <w:t>R</w:t>
      </w:r>
      <w:r w:rsidR="003C3AC5">
        <w:t>eturn to control room</w:t>
      </w:r>
      <w:r w:rsidR="00D57E43">
        <w:t>,</w:t>
      </w:r>
      <w:r>
        <w:t xml:space="preserve"> closing double doors as you exit</w:t>
      </w:r>
      <w:r w:rsidR="003C3AC5">
        <w:t xml:space="preserve">. </w:t>
      </w:r>
      <w:r w:rsidR="00D57E43">
        <w:t>Re-i</w:t>
      </w:r>
      <w:r w:rsidR="003C3AC5">
        <w:t xml:space="preserve">nsert the sweep </w:t>
      </w:r>
      <w:r w:rsidR="00672AD6">
        <w:t xml:space="preserve">key </w:t>
      </w:r>
      <w:r w:rsidR="003C3AC5">
        <w:t xml:space="preserve">into the PSS interlock chassis and engage the PSS.  </w:t>
      </w:r>
    </w:p>
    <w:p w:rsidR="005B720F" w:rsidRDefault="003C3AC5" w:rsidP="005424B3">
      <w:pPr>
        <w:numPr>
          <w:ilvl w:val="0"/>
          <w:numId w:val="16"/>
        </w:numPr>
        <w:tabs>
          <w:tab w:val="clear" w:pos="0"/>
          <w:tab w:val="num" w:pos="360"/>
          <w:tab w:val="num" w:pos="1080"/>
        </w:tabs>
        <w:ind w:left="1080"/>
        <w:jc w:val="both"/>
      </w:pPr>
      <w:r>
        <w:t>Verify that the beacon/display outside the North Cave double door indicates Beam Permit.</w:t>
      </w:r>
      <w:r w:rsidR="00672AD6">
        <w:t xml:space="preserve"> </w:t>
      </w:r>
    </w:p>
    <w:p w:rsidR="0073763C" w:rsidRDefault="0073763C" w:rsidP="0073763C">
      <w:pPr>
        <w:tabs>
          <w:tab w:val="num" w:pos="1080"/>
        </w:tabs>
        <w:jc w:val="both"/>
      </w:pPr>
    </w:p>
    <w:p w:rsidR="0073763C" w:rsidRDefault="0073763C" w:rsidP="0073763C">
      <w:pPr>
        <w:pStyle w:val="Heading3"/>
        <w:rPr>
          <w:szCs w:val="24"/>
        </w:rPr>
      </w:pPr>
      <w:r>
        <w:rPr>
          <w:szCs w:val="24"/>
        </w:rPr>
        <w:t>Making Field Emission measurements</w:t>
      </w:r>
    </w:p>
    <w:p w:rsidR="0073763C" w:rsidRDefault="0073763C" w:rsidP="0073763C">
      <w:pPr>
        <w:pStyle w:val="ListParagraph"/>
        <w:numPr>
          <w:ilvl w:val="0"/>
          <w:numId w:val="34"/>
        </w:numPr>
      </w:pPr>
      <w:r>
        <w:t>Inform South Cave occupants that field emission measurem</w:t>
      </w:r>
      <w:r w:rsidR="00213C5A">
        <w:t>ents will be made in North Cave and that</w:t>
      </w:r>
      <w:r>
        <w:t xml:space="preserve"> </w:t>
      </w:r>
      <w:r w:rsidR="008573FF">
        <w:t xml:space="preserve">personal </w:t>
      </w:r>
      <w:proofErr w:type="spellStart"/>
      <w:r w:rsidR="008573FF">
        <w:t>dosimetry</w:t>
      </w:r>
      <w:proofErr w:type="spellEnd"/>
      <w:r w:rsidR="008573FF">
        <w:t xml:space="preserve"> badges</w:t>
      </w:r>
      <w:r>
        <w:t xml:space="preserve"> are required to work in the </w:t>
      </w:r>
      <w:r>
        <w:lastRenderedPageBreak/>
        <w:t xml:space="preserve">South Cave.  Post a sign on South Cave door, stating </w:t>
      </w:r>
      <w:r w:rsidR="008573FF">
        <w:t xml:space="preserve">personal </w:t>
      </w:r>
      <w:proofErr w:type="spellStart"/>
      <w:r w:rsidR="008573FF">
        <w:t>dosimetry</w:t>
      </w:r>
      <w:proofErr w:type="spellEnd"/>
      <w:r>
        <w:t xml:space="preserve"> required.</w:t>
      </w:r>
    </w:p>
    <w:p w:rsidR="007826A8" w:rsidRDefault="0073763C" w:rsidP="007826A8">
      <w:pPr>
        <w:pStyle w:val="ListParagraph"/>
        <w:numPr>
          <w:ilvl w:val="0"/>
          <w:numId w:val="34"/>
        </w:numPr>
      </w:pPr>
      <w:r>
        <w:t>Sweep and lock-up the North Cave (i.e., go to Beam Permit)</w:t>
      </w:r>
      <w:r w:rsidR="009B6215">
        <w:t xml:space="preserve"> as described above.  H</w:t>
      </w:r>
      <w:r w:rsidR="007826A8">
        <w:t xml:space="preserve">igh voltage power supplies can now be turned ON.  </w:t>
      </w:r>
    </w:p>
    <w:p w:rsidR="007826A8" w:rsidRDefault="007826A8" w:rsidP="0073763C">
      <w:pPr>
        <w:pStyle w:val="ListParagraph"/>
        <w:numPr>
          <w:ilvl w:val="0"/>
          <w:numId w:val="34"/>
        </w:numPr>
      </w:pPr>
      <w:r>
        <w:t xml:space="preserve">For the Glassman 125kV power supply, insert the high voltage cable into the back of the supply.  Press the ON button on the front of the supply and set voltage to the desired value.  A sensitive </w:t>
      </w:r>
      <w:proofErr w:type="spellStart"/>
      <w:r>
        <w:t>Keithley</w:t>
      </w:r>
      <w:proofErr w:type="spellEnd"/>
      <w:r>
        <w:t xml:space="preserve"> electrometer picoammeter provides a measure of field emission current captured by the anode electrode. </w:t>
      </w:r>
    </w:p>
    <w:p w:rsidR="008573FF" w:rsidRDefault="008573FF" w:rsidP="008573FF">
      <w:pPr>
        <w:pStyle w:val="ListParagraph"/>
        <w:numPr>
          <w:ilvl w:val="0"/>
          <w:numId w:val="34"/>
        </w:numPr>
      </w:pPr>
      <w:r>
        <w:t xml:space="preserve">For the Spellman 225kV power supply, an in-house built interface chassis is used to </w:t>
      </w:r>
      <w:r w:rsidR="0036392B">
        <w:t>set PSS permissive</w:t>
      </w:r>
      <w:r>
        <w:t>.  The yellow interface chassi</w:t>
      </w:r>
      <w:r w:rsidR="00145513">
        <w:t>s is mounted in rack “ITS RACK 3</w:t>
      </w:r>
      <w:r>
        <w:t xml:space="preserve">” inside the control room.  </w:t>
      </w:r>
    </w:p>
    <w:p w:rsidR="008573FF" w:rsidRDefault="008573FF" w:rsidP="008573FF">
      <w:pPr>
        <w:pStyle w:val="ListParagraph"/>
        <w:numPr>
          <w:ilvl w:val="0"/>
          <w:numId w:val="36"/>
        </w:numPr>
      </w:pPr>
      <w:r>
        <w:t>Set the front panel key to “RUN”</w:t>
      </w:r>
    </w:p>
    <w:p w:rsidR="008573FF" w:rsidRDefault="008573FF" w:rsidP="008573FF">
      <w:pPr>
        <w:pStyle w:val="ListParagraph"/>
        <w:numPr>
          <w:ilvl w:val="0"/>
          <w:numId w:val="36"/>
        </w:numPr>
      </w:pPr>
      <w:r>
        <w:t xml:space="preserve">Press “Push to Arm” </w:t>
      </w:r>
    </w:p>
    <w:p w:rsidR="0036392B" w:rsidRDefault="008573FF" w:rsidP="0036392B">
      <w:pPr>
        <w:pStyle w:val="ListParagraph"/>
        <w:numPr>
          <w:ilvl w:val="0"/>
          <w:numId w:val="36"/>
        </w:numPr>
      </w:pPr>
      <w:r>
        <w:t>Move toggle switch to “High Voltage ON”</w:t>
      </w:r>
    </w:p>
    <w:p w:rsidR="007826A8" w:rsidRDefault="008573FF" w:rsidP="0036392B">
      <w:pPr>
        <w:pStyle w:val="ListParagraph"/>
        <w:numPr>
          <w:ilvl w:val="0"/>
          <w:numId w:val="34"/>
        </w:numPr>
      </w:pPr>
      <w:r>
        <w:t xml:space="preserve">Voltage can be adjusted using </w:t>
      </w:r>
      <w:r w:rsidR="0036392B">
        <w:t>a local personal computer inside the Control Room</w:t>
      </w:r>
      <w:r>
        <w:t xml:space="preserve">.  Field emission current captured by the anode electrode is displayed on a sensitive </w:t>
      </w:r>
      <w:proofErr w:type="spellStart"/>
      <w:r>
        <w:t>Keithley</w:t>
      </w:r>
      <w:proofErr w:type="spellEnd"/>
      <w:r>
        <w:t xml:space="preserve"> electrometer picoammeter</w:t>
      </w:r>
      <w:r w:rsidR="00E50211">
        <w:t>.</w:t>
      </w:r>
    </w:p>
    <w:p w:rsidR="00B376B2" w:rsidRDefault="00B376B2" w:rsidP="00B376B2">
      <w:pPr>
        <w:pStyle w:val="ListParagraph"/>
        <w:numPr>
          <w:ilvl w:val="0"/>
          <w:numId w:val="34"/>
        </w:numPr>
      </w:pPr>
      <w:r>
        <w:t xml:space="preserve">If the CARM in the </w:t>
      </w:r>
      <w:r w:rsidRPr="00FF6C30">
        <w:rPr>
          <w:b/>
        </w:rPr>
        <w:t>South Cave</w:t>
      </w:r>
      <w:r>
        <w:t xml:space="preserve"> emits an audible alarm, occupants must leave the South Test Cave immediately and report to the Test Cave Control Room.  The high voltage power supply will be turned OFF and the Radiation Control Group notified.   The Radiation Control Group will bring a portable radiation monitor to verify the functionality of the South Cave CARM and assess the radiation hazard (i.e., with high voltage applied to the HVTS in a similar manner as before, but under the guidance of the Radiation Control Group).  </w:t>
      </w:r>
    </w:p>
    <w:p w:rsidR="00FF6C30" w:rsidRPr="0073763C" w:rsidRDefault="00B376B2" w:rsidP="00B376B2">
      <w:pPr>
        <w:pStyle w:val="ListParagraph"/>
        <w:numPr>
          <w:ilvl w:val="0"/>
          <w:numId w:val="34"/>
        </w:numPr>
      </w:pPr>
      <w:r>
        <w:t xml:space="preserve">Similarly, if the CARM in the </w:t>
      </w:r>
      <w:r w:rsidRPr="00FF6C30">
        <w:rPr>
          <w:b/>
        </w:rPr>
        <w:t>North Cave</w:t>
      </w:r>
      <w:r>
        <w:t xml:space="preserve"> emits an audible alarm, the Radiation Control Group will be notified to verify that the lead-lined divider/wall provides adequate shielding for South Cave occupants. If the Radiation Control Group determines that radiation in the South Cave is acceptably small, the CARM alarm in the North Cave can be disregarded during North Cave operation, provided voltage applied to the North Cave field emission test stand is not increased.</w:t>
      </w:r>
    </w:p>
    <w:p w:rsidR="00520331" w:rsidRDefault="00520331" w:rsidP="00520331">
      <w:pPr>
        <w:tabs>
          <w:tab w:val="num" w:pos="1080"/>
        </w:tabs>
        <w:jc w:val="both"/>
      </w:pPr>
    </w:p>
    <w:p w:rsidR="00E50211" w:rsidRPr="00E50211" w:rsidRDefault="00E50211" w:rsidP="00E50211">
      <w:pPr>
        <w:pStyle w:val="Heading3"/>
        <w:rPr>
          <w:szCs w:val="24"/>
        </w:rPr>
      </w:pPr>
      <w:r>
        <w:rPr>
          <w:szCs w:val="24"/>
        </w:rPr>
        <w:t>Shutting Down</w:t>
      </w:r>
    </w:p>
    <w:p w:rsidR="00E50211" w:rsidRDefault="00E50211" w:rsidP="00E50211">
      <w:pPr>
        <w:pStyle w:val="ListParagraph"/>
        <w:numPr>
          <w:ilvl w:val="0"/>
          <w:numId w:val="35"/>
        </w:numPr>
      </w:pPr>
      <w:r>
        <w:t>After making field emission measurements, set high voltage power supplies to OFF</w:t>
      </w:r>
    </w:p>
    <w:p w:rsidR="00213C5A" w:rsidRDefault="00E50211" w:rsidP="00213C5A">
      <w:pPr>
        <w:pStyle w:val="ListParagraph"/>
        <w:numPr>
          <w:ilvl w:val="0"/>
          <w:numId w:val="35"/>
        </w:numPr>
      </w:pPr>
      <w:r>
        <w:t>For the Glassman high voltage power supply, remove the high voltage cable from the rear of the supply, touch the high voltage lead to ground and insert</w:t>
      </w:r>
      <w:r w:rsidR="002E0573">
        <w:t xml:space="preserve"> cable</w:t>
      </w:r>
      <w:r>
        <w:t xml:space="preserve"> into the nearby ground sheath.  Attach the admin lockout box to the cable ground sheath.</w:t>
      </w:r>
      <w:r w:rsidR="009B6215">
        <w:t xml:space="preserve">  An acceptable alternative to removing and locking out the end of the HV </w:t>
      </w:r>
      <w:proofErr w:type="gramStart"/>
      <w:r w:rsidR="009B6215">
        <w:t>cable,</w:t>
      </w:r>
      <w:proofErr w:type="gramEnd"/>
      <w:r w:rsidR="009B6215">
        <w:t xml:space="preserve"> is to set the Glassman knife switch breaker inside the Control Room to OFF, and apply t</w:t>
      </w:r>
      <w:r w:rsidR="007576CA">
        <w:t>he administrative lock.</w:t>
      </w:r>
    </w:p>
    <w:p w:rsidR="0036392B" w:rsidRDefault="0036392B" w:rsidP="00213C5A">
      <w:pPr>
        <w:pStyle w:val="ListParagraph"/>
        <w:numPr>
          <w:ilvl w:val="0"/>
          <w:numId w:val="35"/>
        </w:numPr>
      </w:pPr>
      <w:r>
        <w:t xml:space="preserve">For the Spellman 225kV high voltage power supply, walk behind the electronics racks and set the appropriate knife switch breaker to OFF and apply the admin lock. </w:t>
      </w:r>
    </w:p>
    <w:p w:rsidR="00E50211" w:rsidRDefault="00213C5A" w:rsidP="00213C5A">
      <w:pPr>
        <w:pStyle w:val="ListParagraph"/>
        <w:numPr>
          <w:ilvl w:val="0"/>
          <w:numId w:val="35"/>
        </w:numPr>
      </w:pPr>
      <w:r>
        <w:lastRenderedPageBreak/>
        <w:t>Rotate the key in</w:t>
      </w:r>
      <w:r w:rsidR="00346CBE">
        <w:t xml:space="preserve"> the</w:t>
      </w:r>
      <w:r w:rsidR="00E50211">
        <w:t xml:space="preserve"> Sweep/PSS interface chassis</w:t>
      </w:r>
      <w:r w:rsidR="00346CBE">
        <w:t xml:space="preserve"> to Safe, </w:t>
      </w:r>
      <w:r>
        <w:t xml:space="preserve">to eliminate the possibility that high voltage can be applied to the Field Emission Test Stands, and to disarm the North Cave door </w:t>
      </w:r>
      <w:proofErr w:type="spellStart"/>
      <w:r>
        <w:t>maglocks</w:t>
      </w:r>
      <w:proofErr w:type="spellEnd"/>
      <w:r w:rsidR="00E50211">
        <w:t xml:space="preserve">.  </w:t>
      </w:r>
    </w:p>
    <w:p w:rsidR="00526419" w:rsidRDefault="00526419" w:rsidP="00526419">
      <w:pPr>
        <w:pStyle w:val="ListParagraph"/>
        <w:numPr>
          <w:ilvl w:val="0"/>
          <w:numId w:val="35"/>
        </w:numPr>
      </w:pPr>
      <w:r>
        <w:t>Verify that the North Cave CARM is not alarming audibly and has no visual alarm/fault display, then enter the North Cave and set the 208VAC breaker to OFF, apply the admin lock.  Or…..</w:t>
      </w:r>
    </w:p>
    <w:p w:rsidR="00E50211" w:rsidRDefault="00526419" w:rsidP="00526419">
      <w:pPr>
        <w:pStyle w:val="ListParagraph"/>
        <w:numPr>
          <w:ilvl w:val="0"/>
          <w:numId w:val="35"/>
        </w:numPr>
      </w:pPr>
      <w:r>
        <w:t xml:space="preserve">If the North Cave CARM is alarming, do not enter the North Cave.  Call the Radiation Control Group for assistance evaluating the potential radiation hazard.  </w:t>
      </w:r>
      <w:r w:rsidR="006B0F92">
        <w:t xml:space="preserve">  </w:t>
      </w:r>
    </w:p>
    <w:p w:rsidR="00213C5A" w:rsidRPr="00E50211" w:rsidRDefault="00213C5A" w:rsidP="00E50211">
      <w:pPr>
        <w:pStyle w:val="ListParagraph"/>
        <w:numPr>
          <w:ilvl w:val="0"/>
          <w:numId w:val="35"/>
        </w:numPr>
      </w:pPr>
      <w:r>
        <w:t>Remove the posted sign at the South Cave door.</w:t>
      </w:r>
    </w:p>
    <w:p w:rsidR="00E50211" w:rsidRDefault="00E50211" w:rsidP="00520331">
      <w:pPr>
        <w:tabs>
          <w:tab w:val="num" w:pos="1080"/>
        </w:tabs>
        <w:jc w:val="both"/>
      </w:pPr>
    </w:p>
    <w:p w:rsidR="005B720F" w:rsidRDefault="005B720F">
      <w:pPr>
        <w:pStyle w:val="Heading2"/>
      </w:pPr>
      <w:bookmarkStart w:id="23" w:name="_Toc212358856"/>
      <w:r>
        <w:t>Emergency procedures</w:t>
      </w:r>
      <w:bookmarkEnd w:id="23"/>
    </w:p>
    <w:p w:rsidR="00CB190D" w:rsidRDefault="005B720F" w:rsidP="009B084D">
      <w:pPr>
        <w:jc w:val="both"/>
      </w:pPr>
      <w:r>
        <w:t>In the event of spill, fire, or injury, all responders should follow the emergency response procedures found in EH&amp;S Manual or on the "Yellow Cards" attached to the telephone.</w:t>
      </w:r>
      <w:r w:rsidR="008573FF">
        <w:t xml:space="preserve"> </w:t>
      </w:r>
    </w:p>
    <w:p w:rsidR="00CB190D" w:rsidRDefault="00CB190D" w:rsidP="009B084D">
      <w:pPr>
        <w:jc w:val="both"/>
      </w:pPr>
    </w:p>
    <w:p w:rsidR="00F54D7A" w:rsidRDefault="00CB190D" w:rsidP="009B084D">
      <w:pPr>
        <w:jc w:val="both"/>
      </w:pPr>
      <w:r>
        <w:t xml:space="preserve">An eye wash is located on the external wall (north side) of the Test Cave Control Room, </w:t>
      </w:r>
      <w:r w:rsidR="00213C5A">
        <w:t>close to</w:t>
      </w:r>
      <w:r>
        <w:t xml:space="preserve"> the Control Room exit door.  </w:t>
      </w:r>
      <w:r w:rsidR="008573FF">
        <w:t>An AED (automated external defibrillator) is located outside the Test Cave Control Room, near the Magnet Test Facility</w:t>
      </w:r>
      <w:r>
        <w:t>, on the north wall of the Test Lab Building 58, approximately 100 feet away from the Test Cave Control Room.</w:t>
      </w:r>
    </w:p>
    <w:p w:rsidR="00CB190D" w:rsidRDefault="00CB190D" w:rsidP="009B084D">
      <w:pPr>
        <w:jc w:val="both"/>
      </w:pPr>
    </w:p>
    <w:p w:rsidR="00CB190D" w:rsidRDefault="00CB190D" w:rsidP="00CB190D">
      <w:pPr>
        <w:jc w:val="both"/>
      </w:pPr>
      <w:r>
        <w:t xml:space="preserve">If the status of the Run/Safe shows red ‘UNSAFE” when the North Cave is open for access, hit the nearest crash button and exit immediately.  Contact the Safety Systems Group Leader and </w:t>
      </w:r>
      <w:proofErr w:type="spellStart"/>
      <w:r>
        <w:t>RadCon</w:t>
      </w:r>
      <w:proofErr w:type="spellEnd"/>
      <w:r>
        <w:t xml:space="preserve"> Department Head as soon as possible.  </w:t>
      </w:r>
    </w:p>
    <w:p w:rsidR="00CB190D" w:rsidRDefault="00CB190D" w:rsidP="00CB190D">
      <w:pPr>
        <w:jc w:val="both"/>
      </w:pPr>
    </w:p>
    <w:p w:rsidR="00CB190D" w:rsidRDefault="00CB190D" w:rsidP="00CB190D">
      <w:pPr>
        <w:jc w:val="both"/>
      </w:pPr>
      <w:r>
        <w:t xml:space="preserve">If the North Cave CARM alarms, exit the North Cave immediately.  Go to the control room and hit the CRASH switch for the SOUTH test cave.  Contact </w:t>
      </w:r>
      <w:proofErr w:type="spellStart"/>
      <w:r>
        <w:t>RadCon</w:t>
      </w:r>
      <w:proofErr w:type="spellEnd"/>
      <w:r>
        <w:t xml:space="preserve"> for further instructions.  </w:t>
      </w:r>
    </w:p>
    <w:p w:rsidR="00CB190D" w:rsidRDefault="00CB190D" w:rsidP="00CB190D">
      <w:pPr>
        <w:jc w:val="both"/>
      </w:pPr>
    </w:p>
    <w:p w:rsidR="00CB190D" w:rsidRDefault="00CB190D" w:rsidP="00CB190D">
      <w:pPr>
        <w:jc w:val="both"/>
      </w:pPr>
      <w:r>
        <w:t xml:space="preserve">If the South Cave CARM alarms, exit the North Cave immediately.  Go to the control room and hit the CRASH switch for the NORTH test cave.  Contact </w:t>
      </w:r>
      <w:proofErr w:type="spellStart"/>
      <w:r>
        <w:t>RadCon</w:t>
      </w:r>
      <w:proofErr w:type="spellEnd"/>
      <w:r>
        <w:t xml:space="preserve"> for further instructions.  </w:t>
      </w:r>
    </w:p>
    <w:p w:rsidR="005B720F" w:rsidRDefault="005B720F">
      <w:pPr>
        <w:pStyle w:val="Heading1"/>
        <w:numPr>
          <w:ilvl w:val="0"/>
          <w:numId w:val="0"/>
        </w:numPr>
      </w:pPr>
      <w:bookmarkStart w:id="24" w:name="_Toc212358857"/>
      <w:r>
        <w:t>Appendix A. Hazard Analysis and Controls</w:t>
      </w:r>
      <w:bookmarkEnd w:id="24"/>
    </w:p>
    <w:p w:rsidR="005B720F" w:rsidRDefault="00242CCF" w:rsidP="009B084D">
      <w:pPr>
        <w:jc w:val="both"/>
      </w:pPr>
      <w:r>
        <w:t>Key h</w:t>
      </w:r>
      <w:r w:rsidR="005B720F">
        <w:t xml:space="preserve">azards associated with </w:t>
      </w:r>
      <w:r>
        <w:t xml:space="preserve">the North Cave and field emission test stands </w:t>
      </w:r>
      <w:r w:rsidR="005B720F">
        <w:t>include:</w:t>
      </w:r>
      <w:r>
        <w:t xml:space="preserve"> ionizing rad</w:t>
      </w:r>
      <w:r w:rsidR="009B084D">
        <w:t xml:space="preserve">iation (x-rays), electrocution </w:t>
      </w:r>
      <w:r>
        <w:t>and other less severe hazards normally associated with a typical laboratory environment.  These “less severe” hazards are described in a generalize Test Cave Facilities document.</w:t>
      </w:r>
    </w:p>
    <w:p w:rsidR="005B720F" w:rsidRDefault="005B720F">
      <w:pPr>
        <w:pStyle w:val="Caption"/>
      </w:pPr>
      <w:r>
        <w:t xml:space="preserve">Table A-1 </w:t>
      </w:r>
    </w:p>
    <w:tbl>
      <w:tblPr>
        <w:tblW w:w="10778"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110"/>
        <w:gridCol w:w="1490"/>
        <w:gridCol w:w="2520"/>
        <w:gridCol w:w="2250"/>
        <w:gridCol w:w="1328"/>
        <w:gridCol w:w="1080"/>
      </w:tblGrid>
      <w:tr w:rsidR="005B720F">
        <w:tc>
          <w:tcPr>
            <w:tcW w:w="2110" w:type="dxa"/>
          </w:tcPr>
          <w:p w:rsidR="005B720F" w:rsidRDefault="005B720F">
            <w:pPr>
              <w:jc w:val="center"/>
              <w:rPr>
                <w:b/>
                <w:bCs/>
                <w:sz w:val="20"/>
              </w:rPr>
            </w:pPr>
            <w:r>
              <w:rPr>
                <w:b/>
                <w:bCs/>
                <w:sz w:val="20"/>
              </w:rPr>
              <w:t>Cause</w:t>
            </w:r>
          </w:p>
        </w:tc>
        <w:tc>
          <w:tcPr>
            <w:tcW w:w="1490" w:type="dxa"/>
          </w:tcPr>
          <w:p w:rsidR="005B720F" w:rsidRDefault="005B720F">
            <w:pPr>
              <w:jc w:val="center"/>
              <w:rPr>
                <w:b/>
                <w:bCs/>
                <w:sz w:val="20"/>
              </w:rPr>
            </w:pPr>
            <w:r>
              <w:rPr>
                <w:b/>
                <w:bCs/>
                <w:sz w:val="20"/>
              </w:rPr>
              <w:t>Hazard</w:t>
            </w:r>
          </w:p>
        </w:tc>
        <w:tc>
          <w:tcPr>
            <w:tcW w:w="2520" w:type="dxa"/>
          </w:tcPr>
          <w:p w:rsidR="005B720F" w:rsidRDefault="005B720F">
            <w:pPr>
              <w:jc w:val="center"/>
              <w:rPr>
                <w:b/>
                <w:bCs/>
                <w:sz w:val="20"/>
              </w:rPr>
            </w:pPr>
            <w:r>
              <w:rPr>
                <w:b/>
                <w:bCs/>
                <w:sz w:val="20"/>
              </w:rPr>
              <w:t>Administrative and PPE Controls</w:t>
            </w:r>
          </w:p>
        </w:tc>
        <w:tc>
          <w:tcPr>
            <w:tcW w:w="2250" w:type="dxa"/>
          </w:tcPr>
          <w:p w:rsidR="005B720F" w:rsidRDefault="005B720F">
            <w:pPr>
              <w:jc w:val="center"/>
              <w:rPr>
                <w:b/>
                <w:bCs/>
                <w:sz w:val="20"/>
              </w:rPr>
            </w:pPr>
            <w:r>
              <w:rPr>
                <w:b/>
                <w:bCs/>
                <w:sz w:val="20"/>
              </w:rPr>
              <w:t>Engineering Controls</w:t>
            </w:r>
          </w:p>
        </w:tc>
        <w:tc>
          <w:tcPr>
            <w:tcW w:w="1328" w:type="dxa"/>
          </w:tcPr>
          <w:p w:rsidR="005B720F" w:rsidRDefault="005B720F">
            <w:pPr>
              <w:jc w:val="center"/>
              <w:rPr>
                <w:b/>
                <w:bCs/>
                <w:sz w:val="20"/>
              </w:rPr>
            </w:pPr>
            <w:r>
              <w:rPr>
                <w:b/>
                <w:bCs/>
                <w:sz w:val="20"/>
              </w:rPr>
              <w:t>Unmitigated</w:t>
            </w:r>
          </w:p>
          <w:p w:rsidR="005B720F" w:rsidRDefault="005B720F">
            <w:pPr>
              <w:jc w:val="center"/>
              <w:rPr>
                <w:b/>
                <w:bCs/>
                <w:sz w:val="20"/>
              </w:rPr>
            </w:pPr>
            <w:r>
              <w:rPr>
                <w:b/>
                <w:bCs/>
                <w:sz w:val="20"/>
              </w:rPr>
              <w:t>Risk</w:t>
            </w:r>
          </w:p>
          <w:p w:rsidR="005B720F" w:rsidRDefault="005B720F">
            <w:pPr>
              <w:jc w:val="center"/>
              <w:rPr>
                <w:b/>
                <w:bCs/>
                <w:sz w:val="20"/>
              </w:rPr>
            </w:pPr>
            <w:r>
              <w:rPr>
                <w:b/>
                <w:bCs/>
                <w:sz w:val="20"/>
              </w:rPr>
              <w:t>Code</w:t>
            </w:r>
          </w:p>
        </w:tc>
        <w:tc>
          <w:tcPr>
            <w:tcW w:w="1080" w:type="dxa"/>
          </w:tcPr>
          <w:p w:rsidR="005B720F" w:rsidRDefault="005B720F">
            <w:pPr>
              <w:jc w:val="center"/>
              <w:rPr>
                <w:b/>
                <w:bCs/>
                <w:sz w:val="20"/>
              </w:rPr>
            </w:pPr>
            <w:r>
              <w:rPr>
                <w:b/>
                <w:bCs/>
                <w:sz w:val="20"/>
              </w:rPr>
              <w:t>Mitigated</w:t>
            </w:r>
          </w:p>
          <w:p w:rsidR="005B720F" w:rsidRDefault="005B720F">
            <w:pPr>
              <w:jc w:val="center"/>
              <w:rPr>
                <w:b/>
                <w:bCs/>
                <w:sz w:val="20"/>
              </w:rPr>
            </w:pPr>
            <w:r>
              <w:rPr>
                <w:b/>
                <w:bCs/>
                <w:sz w:val="20"/>
              </w:rPr>
              <w:t>Risk Code</w:t>
            </w:r>
          </w:p>
        </w:tc>
      </w:tr>
      <w:tr w:rsidR="005B720F">
        <w:tc>
          <w:tcPr>
            <w:tcW w:w="2110" w:type="dxa"/>
          </w:tcPr>
          <w:p w:rsidR="005B720F" w:rsidRDefault="00242CCF">
            <w:pPr>
              <w:tabs>
                <w:tab w:val="left" w:pos="450"/>
              </w:tabs>
              <w:rPr>
                <w:sz w:val="20"/>
              </w:rPr>
            </w:pPr>
            <w:r>
              <w:rPr>
                <w:sz w:val="20"/>
              </w:rPr>
              <w:t xml:space="preserve">High Voltage </w:t>
            </w:r>
          </w:p>
        </w:tc>
        <w:tc>
          <w:tcPr>
            <w:tcW w:w="1490" w:type="dxa"/>
          </w:tcPr>
          <w:p w:rsidR="005B720F" w:rsidRDefault="00242CCF">
            <w:pPr>
              <w:tabs>
                <w:tab w:val="left" w:pos="450"/>
              </w:tabs>
              <w:rPr>
                <w:sz w:val="20"/>
              </w:rPr>
            </w:pPr>
            <w:r>
              <w:rPr>
                <w:sz w:val="20"/>
              </w:rPr>
              <w:t>Electrocution</w:t>
            </w:r>
          </w:p>
        </w:tc>
        <w:tc>
          <w:tcPr>
            <w:tcW w:w="2520" w:type="dxa"/>
          </w:tcPr>
          <w:p w:rsidR="005B720F" w:rsidRDefault="00242CCF">
            <w:pPr>
              <w:tabs>
                <w:tab w:val="left" w:pos="450"/>
              </w:tabs>
              <w:rPr>
                <w:sz w:val="20"/>
              </w:rPr>
            </w:pPr>
            <w:r>
              <w:rPr>
                <w:sz w:val="20"/>
              </w:rPr>
              <w:t>LOTO</w:t>
            </w:r>
          </w:p>
        </w:tc>
        <w:tc>
          <w:tcPr>
            <w:tcW w:w="2250" w:type="dxa"/>
          </w:tcPr>
          <w:p w:rsidR="005B720F" w:rsidRDefault="00242CCF">
            <w:pPr>
              <w:tabs>
                <w:tab w:val="left" w:pos="450"/>
              </w:tabs>
              <w:rPr>
                <w:sz w:val="20"/>
              </w:rPr>
            </w:pPr>
            <w:r>
              <w:rPr>
                <w:sz w:val="20"/>
              </w:rPr>
              <w:t>PSS interlocks</w:t>
            </w:r>
          </w:p>
        </w:tc>
        <w:tc>
          <w:tcPr>
            <w:tcW w:w="1328" w:type="dxa"/>
          </w:tcPr>
          <w:p w:rsidR="005B720F" w:rsidRDefault="00242CCF">
            <w:pPr>
              <w:tabs>
                <w:tab w:val="left" w:pos="450"/>
              </w:tabs>
              <w:rPr>
                <w:sz w:val="20"/>
              </w:rPr>
            </w:pPr>
            <w:r>
              <w:rPr>
                <w:sz w:val="20"/>
              </w:rPr>
              <w:t>4</w:t>
            </w:r>
          </w:p>
        </w:tc>
        <w:tc>
          <w:tcPr>
            <w:tcW w:w="1080" w:type="dxa"/>
          </w:tcPr>
          <w:p w:rsidR="005B720F" w:rsidRDefault="00242CCF">
            <w:pPr>
              <w:tabs>
                <w:tab w:val="left" w:pos="450"/>
              </w:tabs>
              <w:rPr>
                <w:sz w:val="20"/>
              </w:rPr>
            </w:pPr>
            <w:r>
              <w:rPr>
                <w:sz w:val="20"/>
              </w:rPr>
              <w:t>1</w:t>
            </w:r>
          </w:p>
        </w:tc>
      </w:tr>
    </w:tbl>
    <w:p w:rsidR="005B720F" w:rsidRDefault="005B720F">
      <w:pPr>
        <w:pStyle w:val="Caption"/>
      </w:pPr>
      <w:r>
        <w:t>Table A-2</w:t>
      </w:r>
    </w:p>
    <w:tbl>
      <w:tblPr>
        <w:tblW w:w="10778"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110"/>
        <w:gridCol w:w="1490"/>
        <w:gridCol w:w="2520"/>
        <w:gridCol w:w="2250"/>
        <w:gridCol w:w="1328"/>
        <w:gridCol w:w="1080"/>
      </w:tblGrid>
      <w:tr w:rsidR="005B720F">
        <w:tc>
          <w:tcPr>
            <w:tcW w:w="2110" w:type="dxa"/>
          </w:tcPr>
          <w:p w:rsidR="005B720F" w:rsidRDefault="005B720F">
            <w:pPr>
              <w:jc w:val="center"/>
              <w:rPr>
                <w:b/>
                <w:bCs/>
                <w:sz w:val="20"/>
              </w:rPr>
            </w:pPr>
            <w:r>
              <w:rPr>
                <w:b/>
                <w:bCs/>
                <w:sz w:val="20"/>
              </w:rPr>
              <w:lastRenderedPageBreak/>
              <w:t>Cause</w:t>
            </w:r>
          </w:p>
        </w:tc>
        <w:tc>
          <w:tcPr>
            <w:tcW w:w="1490" w:type="dxa"/>
          </w:tcPr>
          <w:p w:rsidR="005B720F" w:rsidRDefault="005B720F">
            <w:pPr>
              <w:jc w:val="center"/>
              <w:rPr>
                <w:b/>
                <w:bCs/>
                <w:sz w:val="20"/>
              </w:rPr>
            </w:pPr>
            <w:r>
              <w:rPr>
                <w:b/>
                <w:bCs/>
                <w:sz w:val="20"/>
              </w:rPr>
              <w:t>Hazard</w:t>
            </w:r>
          </w:p>
        </w:tc>
        <w:tc>
          <w:tcPr>
            <w:tcW w:w="2520" w:type="dxa"/>
          </w:tcPr>
          <w:p w:rsidR="005B720F" w:rsidRDefault="005B720F">
            <w:pPr>
              <w:jc w:val="center"/>
              <w:rPr>
                <w:b/>
                <w:bCs/>
                <w:sz w:val="20"/>
              </w:rPr>
            </w:pPr>
            <w:r>
              <w:rPr>
                <w:b/>
                <w:bCs/>
                <w:sz w:val="20"/>
              </w:rPr>
              <w:t>Administrative and PPE Controls</w:t>
            </w:r>
          </w:p>
        </w:tc>
        <w:tc>
          <w:tcPr>
            <w:tcW w:w="2250" w:type="dxa"/>
          </w:tcPr>
          <w:p w:rsidR="005B720F" w:rsidRDefault="005B720F">
            <w:pPr>
              <w:jc w:val="center"/>
              <w:rPr>
                <w:b/>
                <w:bCs/>
                <w:sz w:val="20"/>
              </w:rPr>
            </w:pPr>
            <w:r>
              <w:rPr>
                <w:b/>
                <w:bCs/>
                <w:sz w:val="20"/>
              </w:rPr>
              <w:t>Engineering Controls</w:t>
            </w:r>
          </w:p>
        </w:tc>
        <w:tc>
          <w:tcPr>
            <w:tcW w:w="1328" w:type="dxa"/>
          </w:tcPr>
          <w:p w:rsidR="005B720F" w:rsidRDefault="005B720F">
            <w:pPr>
              <w:jc w:val="center"/>
              <w:rPr>
                <w:b/>
                <w:bCs/>
                <w:sz w:val="20"/>
              </w:rPr>
            </w:pPr>
            <w:r>
              <w:rPr>
                <w:b/>
                <w:bCs/>
                <w:sz w:val="20"/>
              </w:rPr>
              <w:t>Unmitigated</w:t>
            </w:r>
          </w:p>
          <w:p w:rsidR="005B720F" w:rsidRDefault="005B720F">
            <w:pPr>
              <w:jc w:val="center"/>
              <w:rPr>
                <w:b/>
                <w:bCs/>
                <w:sz w:val="20"/>
              </w:rPr>
            </w:pPr>
            <w:r>
              <w:rPr>
                <w:b/>
                <w:bCs/>
                <w:sz w:val="20"/>
              </w:rPr>
              <w:t>Risk</w:t>
            </w:r>
          </w:p>
          <w:p w:rsidR="005B720F" w:rsidRDefault="005B720F">
            <w:pPr>
              <w:jc w:val="center"/>
              <w:rPr>
                <w:b/>
                <w:bCs/>
                <w:sz w:val="20"/>
              </w:rPr>
            </w:pPr>
            <w:r>
              <w:rPr>
                <w:b/>
                <w:bCs/>
                <w:sz w:val="20"/>
              </w:rPr>
              <w:t>Code</w:t>
            </w:r>
          </w:p>
        </w:tc>
        <w:tc>
          <w:tcPr>
            <w:tcW w:w="1080" w:type="dxa"/>
          </w:tcPr>
          <w:p w:rsidR="005B720F" w:rsidRDefault="005B720F">
            <w:pPr>
              <w:jc w:val="center"/>
              <w:rPr>
                <w:b/>
                <w:bCs/>
                <w:sz w:val="20"/>
              </w:rPr>
            </w:pPr>
            <w:r>
              <w:rPr>
                <w:b/>
                <w:bCs/>
                <w:sz w:val="20"/>
              </w:rPr>
              <w:t>Mitigated</w:t>
            </w:r>
          </w:p>
          <w:p w:rsidR="005B720F" w:rsidRDefault="005B720F">
            <w:pPr>
              <w:jc w:val="center"/>
              <w:rPr>
                <w:b/>
                <w:bCs/>
                <w:sz w:val="20"/>
              </w:rPr>
            </w:pPr>
            <w:r>
              <w:rPr>
                <w:b/>
                <w:bCs/>
                <w:sz w:val="20"/>
              </w:rPr>
              <w:t>Risk Code</w:t>
            </w:r>
          </w:p>
        </w:tc>
      </w:tr>
      <w:tr w:rsidR="005B720F">
        <w:tc>
          <w:tcPr>
            <w:tcW w:w="2110" w:type="dxa"/>
          </w:tcPr>
          <w:p w:rsidR="005B720F" w:rsidRDefault="00242CCF">
            <w:pPr>
              <w:tabs>
                <w:tab w:val="left" w:pos="450"/>
              </w:tabs>
              <w:rPr>
                <w:sz w:val="20"/>
              </w:rPr>
            </w:pPr>
            <w:r>
              <w:rPr>
                <w:sz w:val="20"/>
              </w:rPr>
              <w:t>Field Emission</w:t>
            </w:r>
          </w:p>
        </w:tc>
        <w:tc>
          <w:tcPr>
            <w:tcW w:w="1490" w:type="dxa"/>
          </w:tcPr>
          <w:p w:rsidR="005B720F" w:rsidRDefault="00242CCF">
            <w:pPr>
              <w:tabs>
                <w:tab w:val="left" w:pos="450"/>
              </w:tabs>
              <w:rPr>
                <w:sz w:val="20"/>
              </w:rPr>
            </w:pPr>
            <w:r>
              <w:rPr>
                <w:sz w:val="20"/>
              </w:rPr>
              <w:t>x-rays</w:t>
            </w:r>
          </w:p>
        </w:tc>
        <w:tc>
          <w:tcPr>
            <w:tcW w:w="2520" w:type="dxa"/>
          </w:tcPr>
          <w:p w:rsidR="005B720F" w:rsidRDefault="00242CCF">
            <w:pPr>
              <w:tabs>
                <w:tab w:val="left" w:pos="450"/>
              </w:tabs>
              <w:rPr>
                <w:sz w:val="20"/>
              </w:rPr>
            </w:pPr>
            <w:r>
              <w:rPr>
                <w:sz w:val="20"/>
              </w:rPr>
              <w:t>PSS sweep procedure</w:t>
            </w:r>
          </w:p>
        </w:tc>
        <w:tc>
          <w:tcPr>
            <w:tcW w:w="2250" w:type="dxa"/>
          </w:tcPr>
          <w:p w:rsidR="005B720F" w:rsidRDefault="00242CCF">
            <w:pPr>
              <w:tabs>
                <w:tab w:val="left" w:pos="450"/>
              </w:tabs>
              <w:rPr>
                <w:sz w:val="20"/>
              </w:rPr>
            </w:pPr>
            <w:r>
              <w:rPr>
                <w:sz w:val="20"/>
              </w:rPr>
              <w:t>CARM, shielding</w:t>
            </w:r>
          </w:p>
        </w:tc>
        <w:tc>
          <w:tcPr>
            <w:tcW w:w="1328" w:type="dxa"/>
          </w:tcPr>
          <w:p w:rsidR="005B720F" w:rsidRDefault="00242CCF">
            <w:pPr>
              <w:tabs>
                <w:tab w:val="left" w:pos="450"/>
              </w:tabs>
              <w:rPr>
                <w:sz w:val="20"/>
              </w:rPr>
            </w:pPr>
            <w:r>
              <w:rPr>
                <w:sz w:val="20"/>
              </w:rPr>
              <w:t>4</w:t>
            </w:r>
          </w:p>
        </w:tc>
        <w:tc>
          <w:tcPr>
            <w:tcW w:w="1080" w:type="dxa"/>
          </w:tcPr>
          <w:p w:rsidR="005B720F" w:rsidRDefault="00242CCF">
            <w:pPr>
              <w:tabs>
                <w:tab w:val="left" w:pos="450"/>
              </w:tabs>
              <w:rPr>
                <w:sz w:val="20"/>
              </w:rPr>
            </w:pPr>
            <w:r>
              <w:rPr>
                <w:sz w:val="20"/>
              </w:rPr>
              <w:t>1</w:t>
            </w:r>
          </w:p>
        </w:tc>
      </w:tr>
    </w:tbl>
    <w:p w:rsidR="009B084D" w:rsidRDefault="009B084D" w:rsidP="00A706D1"/>
    <w:p w:rsidR="009B084D" w:rsidRDefault="009B084D" w:rsidP="00A706D1"/>
    <w:p w:rsidR="009B084D" w:rsidRDefault="009B084D" w:rsidP="00A706D1"/>
    <w:p w:rsidR="009B084D" w:rsidRDefault="009B084D">
      <w:r>
        <w:br w:type="page"/>
      </w:r>
    </w:p>
    <w:p w:rsidR="00A706D1" w:rsidRDefault="00A706D1" w:rsidP="00A706D1">
      <w:r>
        <w:lastRenderedPageBreak/>
        <w:t xml:space="preserve">All workers participating in </w:t>
      </w:r>
      <w:r w:rsidR="00410CF5">
        <w:t>field emission measurements s</w:t>
      </w:r>
      <w:r>
        <w:t>hall sign below to indicate that they have read, understand, and agree to perform work according to the SOP.</w:t>
      </w:r>
    </w:p>
    <w:p w:rsidR="00A706D1" w:rsidRDefault="00A706D1" w:rsidP="00A706D1"/>
    <w:p w:rsidR="00A706D1" w:rsidRDefault="00A706D1" w:rsidP="00A706D1">
      <w:pPr>
        <w:jc w:val="center"/>
      </w:pPr>
      <w:r>
        <w:rPr>
          <w:b/>
          <w:sz w:val="32"/>
        </w:rPr>
        <w:t>Acknowledgement of Understanding of SOP</w:t>
      </w:r>
    </w:p>
    <w:p w:rsidR="00A706D1" w:rsidRDefault="00A706D1" w:rsidP="00A706D1"/>
    <w:p w:rsidR="00A706D1" w:rsidRDefault="00A706D1" w:rsidP="00A706D1">
      <w:r>
        <w:t xml:space="preserve">I acknowledge that I have read, understand, and agree to comply with the requirements of the current SOP for </w:t>
      </w:r>
      <w:r w:rsidR="00410CF5">
        <w:t>field emission measurements at the North Cave, building 58.</w:t>
      </w:r>
    </w:p>
    <w:p w:rsidR="00A706D1" w:rsidRDefault="00A706D1" w:rsidP="00A706D1"/>
    <w:p w:rsidR="00A706D1" w:rsidRDefault="00A706D1" w:rsidP="00A706D1">
      <w:pPr>
        <w:pBdr>
          <w:top w:val="single" w:sz="4" w:space="1" w:color="auto"/>
          <w:left w:val="single" w:sz="4" w:space="17" w:color="auto"/>
          <w:bottom w:val="single" w:sz="4" w:space="1" w:color="auto"/>
          <w:right w:val="single" w:sz="4" w:space="4" w:color="auto"/>
        </w:pBdr>
        <w:ind w:left="720" w:right="360"/>
        <w:jc w:val="center"/>
        <w:rPr>
          <w:b/>
        </w:rPr>
      </w:pPr>
      <w:r>
        <w:rPr>
          <w:b/>
        </w:rPr>
        <w:t>Note</w:t>
      </w:r>
    </w:p>
    <w:p w:rsidR="00A706D1" w:rsidRDefault="00A706D1" w:rsidP="00A706D1">
      <w:pPr>
        <w:pBdr>
          <w:top w:val="single" w:sz="4" w:space="1" w:color="auto"/>
          <w:left w:val="single" w:sz="4" w:space="17" w:color="auto"/>
          <w:bottom w:val="single" w:sz="4" w:space="1" w:color="auto"/>
          <w:right w:val="single" w:sz="4" w:space="4" w:color="auto"/>
        </w:pBdr>
        <w:ind w:left="720" w:right="360"/>
        <w:jc w:val="center"/>
      </w:pPr>
      <w:r>
        <w:t>Your review and signature will be required again whenever revisions to the document are published.  Please fill in the SOP number, and if applicable, revision level from the cover of the SOP that you have reviewed.</w:t>
      </w:r>
    </w:p>
    <w:p w:rsidR="00A706D1" w:rsidRDefault="00A706D1" w:rsidP="00A706D1"/>
    <w:p w:rsidR="00A706D1" w:rsidRDefault="00A706D1" w:rsidP="00A706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754"/>
        <w:gridCol w:w="2700"/>
        <w:gridCol w:w="1188"/>
      </w:tblGrid>
      <w:tr w:rsidR="00A706D1">
        <w:trPr>
          <w:trHeight w:val="432"/>
        </w:trPr>
        <w:tc>
          <w:tcPr>
            <w:tcW w:w="2214" w:type="dxa"/>
          </w:tcPr>
          <w:p w:rsidR="00A706D1" w:rsidRDefault="00A706D1" w:rsidP="00FB0619">
            <w:pPr>
              <w:jc w:val="center"/>
              <w:rPr>
                <w:b/>
              </w:rPr>
            </w:pPr>
            <w:r>
              <w:rPr>
                <w:b/>
              </w:rPr>
              <w:t>SOP No. and Rev.</w:t>
            </w:r>
          </w:p>
        </w:tc>
        <w:tc>
          <w:tcPr>
            <w:tcW w:w="2754" w:type="dxa"/>
          </w:tcPr>
          <w:p w:rsidR="00A706D1" w:rsidRDefault="00A706D1" w:rsidP="00FB0619">
            <w:pPr>
              <w:jc w:val="center"/>
              <w:rPr>
                <w:b/>
              </w:rPr>
            </w:pPr>
            <w:r>
              <w:rPr>
                <w:b/>
              </w:rPr>
              <w:t>Printed Name</w:t>
            </w:r>
          </w:p>
        </w:tc>
        <w:tc>
          <w:tcPr>
            <w:tcW w:w="2700" w:type="dxa"/>
          </w:tcPr>
          <w:p w:rsidR="00A706D1" w:rsidRDefault="00A706D1" w:rsidP="00FB0619">
            <w:pPr>
              <w:jc w:val="center"/>
              <w:rPr>
                <w:b/>
              </w:rPr>
            </w:pPr>
            <w:r>
              <w:rPr>
                <w:b/>
              </w:rPr>
              <w:t>Signature</w:t>
            </w:r>
          </w:p>
        </w:tc>
        <w:tc>
          <w:tcPr>
            <w:tcW w:w="1188" w:type="dxa"/>
          </w:tcPr>
          <w:p w:rsidR="00A706D1" w:rsidRDefault="00A706D1" w:rsidP="00FB0619">
            <w:pPr>
              <w:jc w:val="center"/>
              <w:rPr>
                <w:b/>
              </w:rPr>
            </w:pPr>
            <w:r>
              <w:rPr>
                <w:b/>
              </w:rPr>
              <w:t>Date</w:t>
            </w:r>
          </w:p>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r w:rsidR="00A706D1">
        <w:trPr>
          <w:trHeight w:val="432"/>
        </w:trPr>
        <w:tc>
          <w:tcPr>
            <w:tcW w:w="2214" w:type="dxa"/>
          </w:tcPr>
          <w:p w:rsidR="00A706D1" w:rsidRDefault="00A706D1" w:rsidP="00FB0619"/>
        </w:tc>
        <w:tc>
          <w:tcPr>
            <w:tcW w:w="2754" w:type="dxa"/>
          </w:tcPr>
          <w:p w:rsidR="00A706D1" w:rsidRDefault="00A706D1" w:rsidP="00FB0619"/>
        </w:tc>
        <w:tc>
          <w:tcPr>
            <w:tcW w:w="2700" w:type="dxa"/>
          </w:tcPr>
          <w:p w:rsidR="00A706D1" w:rsidRDefault="00A706D1" w:rsidP="00FB0619"/>
        </w:tc>
        <w:tc>
          <w:tcPr>
            <w:tcW w:w="1188" w:type="dxa"/>
          </w:tcPr>
          <w:p w:rsidR="00A706D1" w:rsidRDefault="00A706D1" w:rsidP="00FB0619"/>
        </w:tc>
      </w:tr>
    </w:tbl>
    <w:p w:rsidR="005B720F" w:rsidRDefault="005B720F"/>
    <w:p w:rsidR="005F2F88" w:rsidRDefault="005F2F88">
      <w:pPr>
        <w:rPr>
          <w:noProof/>
        </w:rPr>
      </w:pPr>
    </w:p>
    <w:p w:rsidR="000733A9" w:rsidRDefault="000733A9">
      <w:pPr>
        <w:rPr>
          <w:noProof/>
        </w:rPr>
      </w:pPr>
    </w:p>
    <w:p w:rsidR="000733A9" w:rsidRDefault="000733A9">
      <w:r>
        <w:rPr>
          <w:noProof/>
        </w:rPr>
        <w:lastRenderedPageBreak/>
        <w:t xml:space="preserve">Electrical Schematic Diagrams of the North Cave PSS.  These diagrams can be viewed </w:t>
      </w:r>
      <w:r w:rsidR="00426ECC">
        <w:rPr>
          <w:noProof/>
        </w:rPr>
        <w:t xml:space="preserve">with </w:t>
      </w:r>
      <w:r>
        <w:rPr>
          <w:noProof/>
        </w:rPr>
        <w:t xml:space="preserve">better resolution from </w:t>
      </w:r>
      <w:hyperlink r:id="rId18" w:history="1">
        <w:r w:rsidRPr="002C064F">
          <w:rPr>
            <w:rStyle w:val="Hyperlink"/>
            <w:noProof/>
          </w:rPr>
          <w:t>http://www.jlab.org/accel/inj_group/pdf/elec/fets.html</w:t>
        </w:r>
      </w:hyperlink>
    </w:p>
    <w:p w:rsidR="00A807FF" w:rsidRDefault="00A807FF">
      <w:pPr>
        <w:rPr>
          <w:noProof/>
        </w:rPr>
      </w:pPr>
    </w:p>
    <w:p w:rsidR="00DD3A37" w:rsidRDefault="00A807FF">
      <w:pPr>
        <w:rPr>
          <w:noProof/>
        </w:rPr>
      </w:pPr>
      <w:r>
        <w:rPr>
          <w:noProof/>
        </w:rPr>
        <w:lastRenderedPageBreak/>
        <w:drawing>
          <wp:inline distT="0" distB="0" distL="0" distR="0">
            <wp:extent cx="5086350" cy="77533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086350" cy="7753350"/>
                    </a:xfrm>
                    <a:prstGeom prst="rect">
                      <a:avLst/>
                    </a:prstGeom>
                    <a:noFill/>
                    <a:ln w="9525">
                      <a:noFill/>
                      <a:miter lim="800000"/>
                      <a:headEnd/>
                      <a:tailEnd/>
                    </a:ln>
                  </pic:spPr>
                </pic:pic>
              </a:graphicData>
            </a:graphic>
          </wp:inline>
        </w:drawing>
      </w:r>
    </w:p>
    <w:p w:rsidR="00DD3A37" w:rsidRDefault="00DD3A37">
      <w:pPr>
        <w:rPr>
          <w:noProof/>
        </w:rPr>
      </w:pPr>
      <w:r w:rsidRPr="00DD3A37">
        <w:rPr>
          <w:noProof/>
        </w:rPr>
        <w:lastRenderedPageBreak/>
        <w:drawing>
          <wp:inline distT="0" distB="0" distL="0" distR="0">
            <wp:extent cx="5095875" cy="7610475"/>
            <wp:effectExtent l="19050" t="0" r="952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5095875" cy="7610475"/>
                    </a:xfrm>
                    <a:prstGeom prst="rect">
                      <a:avLst/>
                    </a:prstGeom>
                    <a:noFill/>
                    <a:ln w="9525">
                      <a:noFill/>
                      <a:miter lim="800000"/>
                      <a:headEnd/>
                      <a:tailEnd/>
                    </a:ln>
                  </pic:spPr>
                </pic:pic>
              </a:graphicData>
            </a:graphic>
          </wp:inline>
        </w:drawing>
      </w:r>
    </w:p>
    <w:p w:rsidR="000733A9" w:rsidRDefault="00DD3A37">
      <w:pPr>
        <w:rPr>
          <w:noProof/>
        </w:rPr>
      </w:pPr>
      <w:r w:rsidRPr="00DD3A37">
        <w:rPr>
          <w:noProof/>
        </w:rPr>
        <w:lastRenderedPageBreak/>
        <w:drawing>
          <wp:inline distT="0" distB="0" distL="0" distR="0">
            <wp:extent cx="5029200" cy="7600950"/>
            <wp:effectExtent l="1905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5029200" cy="7600950"/>
                    </a:xfrm>
                    <a:prstGeom prst="rect">
                      <a:avLst/>
                    </a:prstGeom>
                    <a:noFill/>
                    <a:ln w="9525">
                      <a:noFill/>
                      <a:miter lim="800000"/>
                      <a:headEnd/>
                      <a:tailEnd/>
                    </a:ln>
                  </pic:spPr>
                </pic:pic>
              </a:graphicData>
            </a:graphic>
          </wp:inline>
        </w:drawing>
      </w:r>
    </w:p>
    <w:p w:rsidR="000733A9" w:rsidRDefault="000733A9">
      <w:pPr>
        <w:rPr>
          <w:noProof/>
        </w:rPr>
      </w:pPr>
      <w:r>
        <w:rPr>
          <w:noProof/>
        </w:rPr>
        <w:lastRenderedPageBreak/>
        <w:drawing>
          <wp:inline distT="0" distB="0" distL="0" distR="0">
            <wp:extent cx="5486400" cy="7178722"/>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5486400" cy="7178722"/>
                    </a:xfrm>
                    <a:prstGeom prst="rect">
                      <a:avLst/>
                    </a:prstGeom>
                    <a:noFill/>
                    <a:ln w="9525">
                      <a:noFill/>
                      <a:miter lim="800000"/>
                      <a:headEnd/>
                      <a:tailEnd/>
                    </a:ln>
                  </pic:spPr>
                </pic:pic>
              </a:graphicData>
            </a:graphic>
          </wp:inline>
        </w:drawing>
      </w:r>
    </w:p>
    <w:p w:rsidR="000733A9" w:rsidRDefault="000733A9">
      <w:pPr>
        <w:rPr>
          <w:noProof/>
        </w:rPr>
      </w:pPr>
    </w:p>
    <w:sectPr w:rsidR="000733A9" w:rsidSect="00C95A9C">
      <w:footerReference w:type="default" r:id="rId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C9F" w:rsidRDefault="00756C9F">
      <w:r>
        <w:separator/>
      </w:r>
    </w:p>
  </w:endnote>
  <w:endnote w:type="continuationSeparator" w:id="0">
    <w:p w:rsidR="00756C9F" w:rsidRDefault="00756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093795"/>
      <w:docPartObj>
        <w:docPartGallery w:val="Page Numbers (Bottom of Page)"/>
        <w:docPartUnique/>
      </w:docPartObj>
    </w:sdtPr>
    <w:sdtContent>
      <w:p w:rsidR="00BB4918" w:rsidRDefault="00DB7786">
        <w:pPr>
          <w:pStyle w:val="Footer"/>
          <w:jc w:val="center"/>
        </w:pPr>
        <w:fldSimple w:instr=" PAGE   \* MERGEFORMAT ">
          <w:r w:rsidR="00481E19">
            <w:rPr>
              <w:noProof/>
            </w:rPr>
            <w:t>1</w:t>
          </w:r>
        </w:fldSimple>
      </w:p>
    </w:sdtContent>
  </w:sdt>
  <w:p w:rsidR="00BB4918" w:rsidRDefault="00BB4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C9F" w:rsidRDefault="00756C9F">
      <w:r>
        <w:separator/>
      </w:r>
    </w:p>
  </w:footnote>
  <w:footnote w:type="continuationSeparator" w:id="0">
    <w:p w:rsidR="00756C9F" w:rsidRDefault="00756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C59"/>
    <w:multiLevelType w:val="hybridMultilevel"/>
    <w:tmpl w:val="FD404816"/>
    <w:lvl w:ilvl="0" w:tplc="D39C84E0">
      <w:start w:val="1"/>
      <w:numFmt w:val="bullet"/>
      <w:lvlText w:val=""/>
      <w:lvlJc w:val="left"/>
      <w:pPr>
        <w:tabs>
          <w:tab w:val="num" w:pos="720"/>
        </w:tabs>
        <w:ind w:left="720" w:hanging="360"/>
      </w:pPr>
      <w:rPr>
        <w:rFonts w:ascii="Symbol" w:hAnsi="Symbol" w:hint="default"/>
      </w:rPr>
    </w:lvl>
    <w:lvl w:ilvl="1" w:tplc="1B12D88C" w:tentative="1">
      <w:start w:val="1"/>
      <w:numFmt w:val="bullet"/>
      <w:lvlText w:val="o"/>
      <w:lvlJc w:val="left"/>
      <w:pPr>
        <w:tabs>
          <w:tab w:val="num" w:pos="1440"/>
        </w:tabs>
        <w:ind w:left="1440" w:hanging="360"/>
      </w:pPr>
      <w:rPr>
        <w:rFonts w:ascii="Courier New" w:hAnsi="Courier New" w:hint="default"/>
      </w:rPr>
    </w:lvl>
    <w:lvl w:ilvl="2" w:tplc="19A639A4" w:tentative="1">
      <w:start w:val="1"/>
      <w:numFmt w:val="bullet"/>
      <w:lvlText w:val=""/>
      <w:lvlJc w:val="left"/>
      <w:pPr>
        <w:tabs>
          <w:tab w:val="num" w:pos="2160"/>
        </w:tabs>
        <w:ind w:left="2160" w:hanging="360"/>
      </w:pPr>
      <w:rPr>
        <w:rFonts w:ascii="Wingdings" w:hAnsi="Wingdings" w:hint="default"/>
      </w:rPr>
    </w:lvl>
    <w:lvl w:ilvl="3" w:tplc="D7CC4A5C" w:tentative="1">
      <w:start w:val="1"/>
      <w:numFmt w:val="bullet"/>
      <w:lvlText w:val=""/>
      <w:lvlJc w:val="left"/>
      <w:pPr>
        <w:tabs>
          <w:tab w:val="num" w:pos="2880"/>
        </w:tabs>
        <w:ind w:left="2880" w:hanging="360"/>
      </w:pPr>
      <w:rPr>
        <w:rFonts w:ascii="Symbol" w:hAnsi="Symbol" w:hint="default"/>
      </w:rPr>
    </w:lvl>
    <w:lvl w:ilvl="4" w:tplc="2D627F2E" w:tentative="1">
      <w:start w:val="1"/>
      <w:numFmt w:val="bullet"/>
      <w:lvlText w:val="o"/>
      <w:lvlJc w:val="left"/>
      <w:pPr>
        <w:tabs>
          <w:tab w:val="num" w:pos="3600"/>
        </w:tabs>
        <w:ind w:left="3600" w:hanging="360"/>
      </w:pPr>
      <w:rPr>
        <w:rFonts w:ascii="Courier New" w:hAnsi="Courier New" w:hint="default"/>
      </w:rPr>
    </w:lvl>
    <w:lvl w:ilvl="5" w:tplc="6402FC5A" w:tentative="1">
      <w:start w:val="1"/>
      <w:numFmt w:val="bullet"/>
      <w:lvlText w:val=""/>
      <w:lvlJc w:val="left"/>
      <w:pPr>
        <w:tabs>
          <w:tab w:val="num" w:pos="4320"/>
        </w:tabs>
        <w:ind w:left="4320" w:hanging="360"/>
      </w:pPr>
      <w:rPr>
        <w:rFonts w:ascii="Wingdings" w:hAnsi="Wingdings" w:hint="default"/>
      </w:rPr>
    </w:lvl>
    <w:lvl w:ilvl="6" w:tplc="CED4476E" w:tentative="1">
      <w:start w:val="1"/>
      <w:numFmt w:val="bullet"/>
      <w:lvlText w:val=""/>
      <w:lvlJc w:val="left"/>
      <w:pPr>
        <w:tabs>
          <w:tab w:val="num" w:pos="5040"/>
        </w:tabs>
        <w:ind w:left="5040" w:hanging="360"/>
      </w:pPr>
      <w:rPr>
        <w:rFonts w:ascii="Symbol" w:hAnsi="Symbol" w:hint="default"/>
      </w:rPr>
    </w:lvl>
    <w:lvl w:ilvl="7" w:tplc="B6BE4744" w:tentative="1">
      <w:start w:val="1"/>
      <w:numFmt w:val="bullet"/>
      <w:lvlText w:val="o"/>
      <w:lvlJc w:val="left"/>
      <w:pPr>
        <w:tabs>
          <w:tab w:val="num" w:pos="5760"/>
        </w:tabs>
        <w:ind w:left="5760" w:hanging="360"/>
      </w:pPr>
      <w:rPr>
        <w:rFonts w:ascii="Courier New" w:hAnsi="Courier New" w:hint="default"/>
      </w:rPr>
    </w:lvl>
    <w:lvl w:ilvl="8" w:tplc="8F261874" w:tentative="1">
      <w:start w:val="1"/>
      <w:numFmt w:val="bullet"/>
      <w:lvlText w:val=""/>
      <w:lvlJc w:val="left"/>
      <w:pPr>
        <w:tabs>
          <w:tab w:val="num" w:pos="6480"/>
        </w:tabs>
        <w:ind w:left="6480" w:hanging="360"/>
      </w:pPr>
      <w:rPr>
        <w:rFonts w:ascii="Wingdings" w:hAnsi="Wingdings" w:hint="default"/>
      </w:rPr>
    </w:lvl>
  </w:abstractNum>
  <w:abstractNum w:abstractNumId="1">
    <w:nsid w:val="0940154A"/>
    <w:multiLevelType w:val="hybridMultilevel"/>
    <w:tmpl w:val="ECF40A1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00986"/>
    <w:multiLevelType w:val="hybridMultilevel"/>
    <w:tmpl w:val="57945A2C"/>
    <w:lvl w:ilvl="0" w:tplc="A426C6E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64C9F"/>
    <w:multiLevelType w:val="hybridMultilevel"/>
    <w:tmpl w:val="A1E8E124"/>
    <w:lvl w:ilvl="0" w:tplc="DE20FF60">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3011D"/>
    <w:multiLevelType w:val="hybridMultilevel"/>
    <w:tmpl w:val="74622E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902B7E"/>
    <w:multiLevelType w:val="hybridMultilevel"/>
    <w:tmpl w:val="7B9A4E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0F">
      <w:start w:val="1"/>
      <w:numFmt w:val="decimal"/>
      <w:lvlText w:val="%3."/>
      <w:lvlJc w:val="left"/>
      <w:pPr>
        <w:tabs>
          <w:tab w:val="num" w:pos="2250"/>
        </w:tabs>
        <w:ind w:left="2250" w:hanging="360"/>
      </w:pPr>
    </w:lvl>
    <w:lvl w:ilvl="3" w:tplc="04090001">
      <w:start w:val="1"/>
      <w:numFmt w:val="bullet"/>
      <w:lvlText w:val=""/>
      <w:lvlJc w:val="left"/>
      <w:pPr>
        <w:tabs>
          <w:tab w:val="num" w:pos="2790"/>
        </w:tabs>
        <w:ind w:left="2790" w:hanging="360"/>
      </w:pPr>
      <w:rPr>
        <w:rFonts w:ascii="Symbol" w:hAnsi="Symbol"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19AC15E3"/>
    <w:multiLevelType w:val="multilevel"/>
    <w:tmpl w:val="1A384032"/>
    <w:lvl w:ilvl="0">
      <w:start w:val="1"/>
      <w:numFmt w:val="decimal"/>
      <w:lvlText w:val="%1."/>
      <w:lvlJc w:val="left"/>
      <w:pPr>
        <w:tabs>
          <w:tab w:val="num" w:pos="720"/>
        </w:tabs>
        <w:ind w:left="720" w:hanging="360"/>
      </w:pPr>
    </w:lvl>
    <w:lvl w:ilvl="1">
      <w:start w:val="4"/>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7">
    <w:nsid w:val="1B967A8B"/>
    <w:multiLevelType w:val="hybridMultilevel"/>
    <w:tmpl w:val="0958D2E8"/>
    <w:lvl w:ilvl="0" w:tplc="DC4012B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F08B3"/>
    <w:multiLevelType w:val="hybridMultilevel"/>
    <w:tmpl w:val="D494ACF2"/>
    <w:lvl w:ilvl="0" w:tplc="A89AC912">
      <w:start w:val="1"/>
      <w:numFmt w:val="bullet"/>
      <w:lvlText w:val=""/>
      <w:lvlJc w:val="left"/>
      <w:pPr>
        <w:tabs>
          <w:tab w:val="num" w:pos="720"/>
        </w:tabs>
        <w:ind w:left="720" w:hanging="360"/>
      </w:pPr>
      <w:rPr>
        <w:rFonts w:ascii="Symbol" w:hAnsi="Symbol" w:hint="default"/>
      </w:rPr>
    </w:lvl>
    <w:lvl w:ilvl="1" w:tplc="39528AF0" w:tentative="1">
      <w:start w:val="1"/>
      <w:numFmt w:val="bullet"/>
      <w:lvlText w:val="o"/>
      <w:lvlJc w:val="left"/>
      <w:pPr>
        <w:tabs>
          <w:tab w:val="num" w:pos="1440"/>
        </w:tabs>
        <w:ind w:left="1440" w:hanging="360"/>
      </w:pPr>
      <w:rPr>
        <w:rFonts w:ascii="Courier New" w:hAnsi="Courier New" w:hint="default"/>
      </w:rPr>
    </w:lvl>
    <w:lvl w:ilvl="2" w:tplc="B5BCA57E" w:tentative="1">
      <w:start w:val="1"/>
      <w:numFmt w:val="bullet"/>
      <w:lvlText w:val=""/>
      <w:lvlJc w:val="left"/>
      <w:pPr>
        <w:tabs>
          <w:tab w:val="num" w:pos="2160"/>
        </w:tabs>
        <w:ind w:left="2160" w:hanging="360"/>
      </w:pPr>
      <w:rPr>
        <w:rFonts w:ascii="Wingdings" w:hAnsi="Wingdings" w:hint="default"/>
      </w:rPr>
    </w:lvl>
    <w:lvl w:ilvl="3" w:tplc="48E87A7A" w:tentative="1">
      <w:start w:val="1"/>
      <w:numFmt w:val="bullet"/>
      <w:lvlText w:val=""/>
      <w:lvlJc w:val="left"/>
      <w:pPr>
        <w:tabs>
          <w:tab w:val="num" w:pos="2880"/>
        </w:tabs>
        <w:ind w:left="2880" w:hanging="360"/>
      </w:pPr>
      <w:rPr>
        <w:rFonts w:ascii="Symbol" w:hAnsi="Symbol" w:hint="default"/>
      </w:rPr>
    </w:lvl>
    <w:lvl w:ilvl="4" w:tplc="30327B58" w:tentative="1">
      <w:start w:val="1"/>
      <w:numFmt w:val="bullet"/>
      <w:lvlText w:val="o"/>
      <w:lvlJc w:val="left"/>
      <w:pPr>
        <w:tabs>
          <w:tab w:val="num" w:pos="3600"/>
        </w:tabs>
        <w:ind w:left="3600" w:hanging="360"/>
      </w:pPr>
      <w:rPr>
        <w:rFonts w:ascii="Courier New" w:hAnsi="Courier New" w:hint="default"/>
      </w:rPr>
    </w:lvl>
    <w:lvl w:ilvl="5" w:tplc="78FA9ECC" w:tentative="1">
      <w:start w:val="1"/>
      <w:numFmt w:val="bullet"/>
      <w:lvlText w:val=""/>
      <w:lvlJc w:val="left"/>
      <w:pPr>
        <w:tabs>
          <w:tab w:val="num" w:pos="4320"/>
        </w:tabs>
        <w:ind w:left="4320" w:hanging="360"/>
      </w:pPr>
      <w:rPr>
        <w:rFonts w:ascii="Wingdings" w:hAnsi="Wingdings" w:hint="default"/>
      </w:rPr>
    </w:lvl>
    <w:lvl w:ilvl="6" w:tplc="762A90C4" w:tentative="1">
      <w:start w:val="1"/>
      <w:numFmt w:val="bullet"/>
      <w:lvlText w:val=""/>
      <w:lvlJc w:val="left"/>
      <w:pPr>
        <w:tabs>
          <w:tab w:val="num" w:pos="5040"/>
        </w:tabs>
        <w:ind w:left="5040" w:hanging="360"/>
      </w:pPr>
      <w:rPr>
        <w:rFonts w:ascii="Symbol" w:hAnsi="Symbol" w:hint="default"/>
      </w:rPr>
    </w:lvl>
    <w:lvl w:ilvl="7" w:tplc="4218F564" w:tentative="1">
      <w:start w:val="1"/>
      <w:numFmt w:val="bullet"/>
      <w:lvlText w:val="o"/>
      <w:lvlJc w:val="left"/>
      <w:pPr>
        <w:tabs>
          <w:tab w:val="num" w:pos="5760"/>
        </w:tabs>
        <w:ind w:left="5760" w:hanging="360"/>
      </w:pPr>
      <w:rPr>
        <w:rFonts w:ascii="Courier New" w:hAnsi="Courier New" w:hint="default"/>
      </w:rPr>
    </w:lvl>
    <w:lvl w:ilvl="8" w:tplc="C07C08B0" w:tentative="1">
      <w:start w:val="1"/>
      <w:numFmt w:val="bullet"/>
      <w:lvlText w:val=""/>
      <w:lvlJc w:val="left"/>
      <w:pPr>
        <w:tabs>
          <w:tab w:val="num" w:pos="6480"/>
        </w:tabs>
        <w:ind w:left="6480" w:hanging="360"/>
      </w:pPr>
      <w:rPr>
        <w:rFonts w:ascii="Wingdings" w:hAnsi="Wingdings" w:hint="default"/>
      </w:rPr>
    </w:lvl>
  </w:abstractNum>
  <w:abstractNum w:abstractNumId="9">
    <w:nsid w:val="2B3B3807"/>
    <w:multiLevelType w:val="hybridMultilevel"/>
    <w:tmpl w:val="677201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4D7671"/>
    <w:multiLevelType w:val="hybridMultilevel"/>
    <w:tmpl w:val="25B05EBE"/>
    <w:lvl w:ilvl="0" w:tplc="4CBA06F0">
      <w:start w:val="1"/>
      <w:numFmt w:val="bullet"/>
      <w:lvlText w:val=""/>
      <w:lvlJc w:val="left"/>
      <w:pPr>
        <w:tabs>
          <w:tab w:val="num" w:pos="720"/>
        </w:tabs>
        <w:ind w:left="720" w:hanging="360"/>
      </w:pPr>
      <w:rPr>
        <w:rFonts w:ascii="Symbol" w:hAnsi="Symbol" w:hint="default"/>
      </w:rPr>
    </w:lvl>
    <w:lvl w:ilvl="1" w:tplc="5F7808C2" w:tentative="1">
      <w:start w:val="1"/>
      <w:numFmt w:val="bullet"/>
      <w:lvlText w:val="o"/>
      <w:lvlJc w:val="left"/>
      <w:pPr>
        <w:tabs>
          <w:tab w:val="num" w:pos="1440"/>
        </w:tabs>
        <w:ind w:left="1440" w:hanging="360"/>
      </w:pPr>
      <w:rPr>
        <w:rFonts w:ascii="Courier New" w:hAnsi="Courier New" w:hint="default"/>
      </w:rPr>
    </w:lvl>
    <w:lvl w:ilvl="2" w:tplc="5BDEC774" w:tentative="1">
      <w:start w:val="1"/>
      <w:numFmt w:val="bullet"/>
      <w:lvlText w:val=""/>
      <w:lvlJc w:val="left"/>
      <w:pPr>
        <w:tabs>
          <w:tab w:val="num" w:pos="2160"/>
        </w:tabs>
        <w:ind w:left="2160" w:hanging="360"/>
      </w:pPr>
      <w:rPr>
        <w:rFonts w:ascii="Wingdings" w:hAnsi="Wingdings" w:hint="default"/>
      </w:rPr>
    </w:lvl>
    <w:lvl w:ilvl="3" w:tplc="5524B6D6" w:tentative="1">
      <w:start w:val="1"/>
      <w:numFmt w:val="bullet"/>
      <w:lvlText w:val=""/>
      <w:lvlJc w:val="left"/>
      <w:pPr>
        <w:tabs>
          <w:tab w:val="num" w:pos="2880"/>
        </w:tabs>
        <w:ind w:left="2880" w:hanging="360"/>
      </w:pPr>
      <w:rPr>
        <w:rFonts w:ascii="Symbol" w:hAnsi="Symbol" w:hint="default"/>
      </w:rPr>
    </w:lvl>
    <w:lvl w:ilvl="4" w:tplc="9FF61C18" w:tentative="1">
      <w:start w:val="1"/>
      <w:numFmt w:val="bullet"/>
      <w:lvlText w:val="o"/>
      <w:lvlJc w:val="left"/>
      <w:pPr>
        <w:tabs>
          <w:tab w:val="num" w:pos="3600"/>
        </w:tabs>
        <w:ind w:left="3600" w:hanging="360"/>
      </w:pPr>
      <w:rPr>
        <w:rFonts w:ascii="Courier New" w:hAnsi="Courier New" w:hint="default"/>
      </w:rPr>
    </w:lvl>
    <w:lvl w:ilvl="5" w:tplc="3D5C8256" w:tentative="1">
      <w:start w:val="1"/>
      <w:numFmt w:val="bullet"/>
      <w:lvlText w:val=""/>
      <w:lvlJc w:val="left"/>
      <w:pPr>
        <w:tabs>
          <w:tab w:val="num" w:pos="4320"/>
        </w:tabs>
        <w:ind w:left="4320" w:hanging="360"/>
      </w:pPr>
      <w:rPr>
        <w:rFonts w:ascii="Wingdings" w:hAnsi="Wingdings" w:hint="default"/>
      </w:rPr>
    </w:lvl>
    <w:lvl w:ilvl="6" w:tplc="7CCCFB92" w:tentative="1">
      <w:start w:val="1"/>
      <w:numFmt w:val="bullet"/>
      <w:lvlText w:val=""/>
      <w:lvlJc w:val="left"/>
      <w:pPr>
        <w:tabs>
          <w:tab w:val="num" w:pos="5040"/>
        </w:tabs>
        <w:ind w:left="5040" w:hanging="360"/>
      </w:pPr>
      <w:rPr>
        <w:rFonts w:ascii="Symbol" w:hAnsi="Symbol" w:hint="default"/>
      </w:rPr>
    </w:lvl>
    <w:lvl w:ilvl="7" w:tplc="C09803CE" w:tentative="1">
      <w:start w:val="1"/>
      <w:numFmt w:val="bullet"/>
      <w:lvlText w:val="o"/>
      <w:lvlJc w:val="left"/>
      <w:pPr>
        <w:tabs>
          <w:tab w:val="num" w:pos="5760"/>
        </w:tabs>
        <w:ind w:left="5760" w:hanging="360"/>
      </w:pPr>
      <w:rPr>
        <w:rFonts w:ascii="Courier New" w:hAnsi="Courier New" w:hint="default"/>
      </w:rPr>
    </w:lvl>
    <w:lvl w:ilvl="8" w:tplc="545CD20E" w:tentative="1">
      <w:start w:val="1"/>
      <w:numFmt w:val="bullet"/>
      <w:lvlText w:val=""/>
      <w:lvlJc w:val="left"/>
      <w:pPr>
        <w:tabs>
          <w:tab w:val="num" w:pos="6480"/>
        </w:tabs>
        <w:ind w:left="6480" w:hanging="360"/>
      </w:pPr>
      <w:rPr>
        <w:rFonts w:ascii="Wingdings" w:hAnsi="Wingdings" w:hint="default"/>
      </w:rPr>
    </w:lvl>
  </w:abstractNum>
  <w:abstractNum w:abstractNumId="11">
    <w:nsid w:val="2F771EEA"/>
    <w:multiLevelType w:val="hybridMultilevel"/>
    <w:tmpl w:val="59BCEE4E"/>
    <w:lvl w:ilvl="0" w:tplc="39E09446">
      <w:start w:val="1"/>
      <w:numFmt w:val="lowerLetter"/>
      <w:lvlText w:val="%1."/>
      <w:lvlJc w:val="left"/>
      <w:pPr>
        <w:tabs>
          <w:tab w:val="num" w:pos="360"/>
        </w:tabs>
        <w:ind w:left="360" w:hanging="360"/>
      </w:pPr>
    </w:lvl>
    <w:lvl w:ilvl="1" w:tplc="CBDEB340" w:tentative="1">
      <w:start w:val="1"/>
      <w:numFmt w:val="lowerLetter"/>
      <w:lvlText w:val="%2."/>
      <w:lvlJc w:val="left"/>
      <w:pPr>
        <w:tabs>
          <w:tab w:val="num" w:pos="1080"/>
        </w:tabs>
        <w:ind w:left="1080" w:hanging="360"/>
      </w:pPr>
    </w:lvl>
    <w:lvl w:ilvl="2" w:tplc="51CA3DC8" w:tentative="1">
      <w:start w:val="1"/>
      <w:numFmt w:val="lowerRoman"/>
      <w:lvlText w:val="%3."/>
      <w:lvlJc w:val="right"/>
      <w:pPr>
        <w:tabs>
          <w:tab w:val="num" w:pos="1800"/>
        </w:tabs>
        <w:ind w:left="1800" w:hanging="180"/>
      </w:pPr>
    </w:lvl>
    <w:lvl w:ilvl="3" w:tplc="9064B5FA" w:tentative="1">
      <w:start w:val="1"/>
      <w:numFmt w:val="decimal"/>
      <w:lvlText w:val="%4."/>
      <w:lvlJc w:val="left"/>
      <w:pPr>
        <w:tabs>
          <w:tab w:val="num" w:pos="2520"/>
        </w:tabs>
        <w:ind w:left="2520" w:hanging="360"/>
      </w:pPr>
    </w:lvl>
    <w:lvl w:ilvl="4" w:tplc="C166F1E8" w:tentative="1">
      <w:start w:val="1"/>
      <w:numFmt w:val="lowerLetter"/>
      <w:lvlText w:val="%5."/>
      <w:lvlJc w:val="left"/>
      <w:pPr>
        <w:tabs>
          <w:tab w:val="num" w:pos="3240"/>
        </w:tabs>
        <w:ind w:left="3240" w:hanging="360"/>
      </w:pPr>
    </w:lvl>
    <w:lvl w:ilvl="5" w:tplc="FE327A08" w:tentative="1">
      <w:start w:val="1"/>
      <w:numFmt w:val="lowerRoman"/>
      <w:lvlText w:val="%6."/>
      <w:lvlJc w:val="right"/>
      <w:pPr>
        <w:tabs>
          <w:tab w:val="num" w:pos="3960"/>
        </w:tabs>
        <w:ind w:left="3960" w:hanging="180"/>
      </w:pPr>
    </w:lvl>
    <w:lvl w:ilvl="6" w:tplc="EEEECAFC" w:tentative="1">
      <w:start w:val="1"/>
      <w:numFmt w:val="decimal"/>
      <w:lvlText w:val="%7."/>
      <w:lvlJc w:val="left"/>
      <w:pPr>
        <w:tabs>
          <w:tab w:val="num" w:pos="4680"/>
        </w:tabs>
        <w:ind w:left="4680" w:hanging="360"/>
      </w:pPr>
    </w:lvl>
    <w:lvl w:ilvl="7" w:tplc="D0F02260" w:tentative="1">
      <w:start w:val="1"/>
      <w:numFmt w:val="lowerLetter"/>
      <w:lvlText w:val="%8."/>
      <w:lvlJc w:val="left"/>
      <w:pPr>
        <w:tabs>
          <w:tab w:val="num" w:pos="5400"/>
        </w:tabs>
        <w:ind w:left="5400" w:hanging="360"/>
      </w:pPr>
    </w:lvl>
    <w:lvl w:ilvl="8" w:tplc="3D7AED1C" w:tentative="1">
      <w:start w:val="1"/>
      <w:numFmt w:val="lowerRoman"/>
      <w:lvlText w:val="%9."/>
      <w:lvlJc w:val="right"/>
      <w:pPr>
        <w:tabs>
          <w:tab w:val="num" w:pos="6120"/>
        </w:tabs>
        <w:ind w:left="6120" w:hanging="180"/>
      </w:pPr>
    </w:lvl>
  </w:abstractNum>
  <w:abstractNum w:abstractNumId="12">
    <w:nsid w:val="4776484E"/>
    <w:multiLevelType w:val="hybridMultilevel"/>
    <w:tmpl w:val="77F8EF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540AD"/>
    <w:multiLevelType w:val="multilevel"/>
    <w:tmpl w:val="FE361FFA"/>
    <w:lvl w:ilvl="0">
      <w:start w:val="5"/>
      <w:numFmt w:val="decimal"/>
      <w:lvlText w:val="%1"/>
      <w:lvlJc w:val="left"/>
      <w:pPr>
        <w:ind w:left="405" w:hanging="40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4767E9A"/>
    <w:multiLevelType w:val="multilevel"/>
    <w:tmpl w:val="1116BB68"/>
    <w:lvl w:ilvl="0">
      <w:start w:val="1"/>
      <w:numFmt w:val="decimal"/>
      <w:lvlText w:val="%1."/>
      <w:lvlJc w:val="left"/>
      <w:pPr>
        <w:tabs>
          <w:tab w:val="num" w:pos="780"/>
        </w:tabs>
        <w:ind w:left="780" w:hanging="360"/>
      </w:pPr>
      <w:rPr>
        <w:rFonts w:hint="default"/>
      </w:rPr>
    </w:lvl>
    <w:lvl w:ilvl="1">
      <w:start w:val="3"/>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5">
    <w:nsid w:val="54E64558"/>
    <w:multiLevelType w:val="multilevel"/>
    <w:tmpl w:val="8708BE72"/>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6722EAC"/>
    <w:multiLevelType w:val="hybridMultilevel"/>
    <w:tmpl w:val="00422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BE75D4"/>
    <w:multiLevelType w:val="hybridMultilevel"/>
    <w:tmpl w:val="29F6316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59880B57"/>
    <w:multiLevelType w:val="hybridMultilevel"/>
    <w:tmpl w:val="6EAA004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nsid w:val="5BBE4C1A"/>
    <w:multiLevelType w:val="hybridMultilevel"/>
    <w:tmpl w:val="80BE5EB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E6F088F"/>
    <w:multiLevelType w:val="hybridMultilevel"/>
    <w:tmpl w:val="281039F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EEE2765"/>
    <w:multiLevelType w:val="multilevel"/>
    <w:tmpl w:val="A3D224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A13BCC"/>
    <w:multiLevelType w:val="hybridMultilevel"/>
    <w:tmpl w:val="76B689C0"/>
    <w:lvl w:ilvl="0" w:tplc="0409000F">
      <w:start w:val="1"/>
      <w:numFmt w:val="decimal"/>
      <w:lvlText w:val="%1."/>
      <w:lvlJc w:val="left"/>
      <w:pPr>
        <w:tabs>
          <w:tab w:val="num" w:pos="0"/>
        </w:tabs>
        <w:ind w:left="0" w:hanging="360"/>
      </w:pPr>
    </w:lvl>
    <w:lvl w:ilvl="1" w:tplc="CEF04A06">
      <w:start w:val="1"/>
      <w:numFmt w:val="lowerLetter"/>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9744B62"/>
    <w:multiLevelType w:val="multilevel"/>
    <w:tmpl w:val="DA267C72"/>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6CD50077"/>
    <w:multiLevelType w:val="hybridMultilevel"/>
    <w:tmpl w:val="E2F8D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13439D"/>
    <w:multiLevelType w:val="hybridMultilevel"/>
    <w:tmpl w:val="521A2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E981B48"/>
    <w:multiLevelType w:val="hybridMultilevel"/>
    <w:tmpl w:val="BBEAA24E"/>
    <w:lvl w:ilvl="0" w:tplc="A1ACAB68">
      <w:start w:val="1"/>
      <w:numFmt w:val="bullet"/>
      <w:lvlText w:val=""/>
      <w:lvlJc w:val="left"/>
      <w:pPr>
        <w:tabs>
          <w:tab w:val="num" w:pos="720"/>
        </w:tabs>
        <w:ind w:left="720" w:hanging="360"/>
      </w:pPr>
      <w:rPr>
        <w:rFonts w:ascii="Symbol" w:hAnsi="Symbol" w:hint="default"/>
      </w:rPr>
    </w:lvl>
    <w:lvl w:ilvl="1" w:tplc="5484E6E2" w:tentative="1">
      <w:start w:val="1"/>
      <w:numFmt w:val="bullet"/>
      <w:lvlText w:val="o"/>
      <w:lvlJc w:val="left"/>
      <w:pPr>
        <w:tabs>
          <w:tab w:val="num" w:pos="1440"/>
        </w:tabs>
        <w:ind w:left="1440" w:hanging="360"/>
      </w:pPr>
      <w:rPr>
        <w:rFonts w:ascii="Courier New" w:hAnsi="Courier New" w:hint="default"/>
      </w:rPr>
    </w:lvl>
    <w:lvl w:ilvl="2" w:tplc="181C5AF4" w:tentative="1">
      <w:start w:val="1"/>
      <w:numFmt w:val="bullet"/>
      <w:lvlText w:val=""/>
      <w:lvlJc w:val="left"/>
      <w:pPr>
        <w:tabs>
          <w:tab w:val="num" w:pos="2160"/>
        </w:tabs>
        <w:ind w:left="2160" w:hanging="360"/>
      </w:pPr>
      <w:rPr>
        <w:rFonts w:ascii="Wingdings" w:hAnsi="Wingdings" w:hint="default"/>
      </w:rPr>
    </w:lvl>
    <w:lvl w:ilvl="3" w:tplc="AE36F3A8" w:tentative="1">
      <w:start w:val="1"/>
      <w:numFmt w:val="bullet"/>
      <w:lvlText w:val=""/>
      <w:lvlJc w:val="left"/>
      <w:pPr>
        <w:tabs>
          <w:tab w:val="num" w:pos="2880"/>
        </w:tabs>
        <w:ind w:left="2880" w:hanging="360"/>
      </w:pPr>
      <w:rPr>
        <w:rFonts w:ascii="Symbol" w:hAnsi="Symbol" w:hint="default"/>
      </w:rPr>
    </w:lvl>
    <w:lvl w:ilvl="4" w:tplc="F77031B0" w:tentative="1">
      <w:start w:val="1"/>
      <w:numFmt w:val="bullet"/>
      <w:lvlText w:val="o"/>
      <w:lvlJc w:val="left"/>
      <w:pPr>
        <w:tabs>
          <w:tab w:val="num" w:pos="3600"/>
        </w:tabs>
        <w:ind w:left="3600" w:hanging="360"/>
      </w:pPr>
      <w:rPr>
        <w:rFonts w:ascii="Courier New" w:hAnsi="Courier New" w:hint="default"/>
      </w:rPr>
    </w:lvl>
    <w:lvl w:ilvl="5" w:tplc="8E88900E" w:tentative="1">
      <w:start w:val="1"/>
      <w:numFmt w:val="bullet"/>
      <w:lvlText w:val=""/>
      <w:lvlJc w:val="left"/>
      <w:pPr>
        <w:tabs>
          <w:tab w:val="num" w:pos="4320"/>
        </w:tabs>
        <w:ind w:left="4320" w:hanging="360"/>
      </w:pPr>
      <w:rPr>
        <w:rFonts w:ascii="Wingdings" w:hAnsi="Wingdings" w:hint="default"/>
      </w:rPr>
    </w:lvl>
    <w:lvl w:ilvl="6" w:tplc="DB060654" w:tentative="1">
      <w:start w:val="1"/>
      <w:numFmt w:val="bullet"/>
      <w:lvlText w:val=""/>
      <w:lvlJc w:val="left"/>
      <w:pPr>
        <w:tabs>
          <w:tab w:val="num" w:pos="5040"/>
        </w:tabs>
        <w:ind w:left="5040" w:hanging="360"/>
      </w:pPr>
      <w:rPr>
        <w:rFonts w:ascii="Symbol" w:hAnsi="Symbol" w:hint="default"/>
      </w:rPr>
    </w:lvl>
    <w:lvl w:ilvl="7" w:tplc="40EE52F0" w:tentative="1">
      <w:start w:val="1"/>
      <w:numFmt w:val="bullet"/>
      <w:lvlText w:val="o"/>
      <w:lvlJc w:val="left"/>
      <w:pPr>
        <w:tabs>
          <w:tab w:val="num" w:pos="5760"/>
        </w:tabs>
        <w:ind w:left="5760" w:hanging="360"/>
      </w:pPr>
      <w:rPr>
        <w:rFonts w:ascii="Courier New" w:hAnsi="Courier New" w:hint="default"/>
      </w:rPr>
    </w:lvl>
    <w:lvl w:ilvl="8" w:tplc="45AC4E88" w:tentative="1">
      <w:start w:val="1"/>
      <w:numFmt w:val="bullet"/>
      <w:lvlText w:val=""/>
      <w:lvlJc w:val="left"/>
      <w:pPr>
        <w:tabs>
          <w:tab w:val="num" w:pos="6480"/>
        </w:tabs>
        <w:ind w:left="6480" w:hanging="360"/>
      </w:pPr>
      <w:rPr>
        <w:rFonts w:ascii="Wingdings" w:hAnsi="Wingdings" w:hint="default"/>
      </w:rPr>
    </w:lvl>
  </w:abstractNum>
  <w:abstractNum w:abstractNumId="27">
    <w:nsid w:val="707D3CEF"/>
    <w:multiLevelType w:val="hybridMultilevel"/>
    <w:tmpl w:val="D020D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346773"/>
    <w:multiLevelType w:val="hybridMultilevel"/>
    <w:tmpl w:val="F1AE2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CB6221"/>
    <w:multiLevelType w:val="hybridMultilevel"/>
    <w:tmpl w:val="D4E4E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A3538F"/>
    <w:multiLevelType w:val="hybridMultilevel"/>
    <w:tmpl w:val="A4FCE4A0"/>
    <w:lvl w:ilvl="0" w:tplc="FF5AB396">
      <w:start w:val="1"/>
      <w:numFmt w:val="bullet"/>
      <w:lvlText w:val=""/>
      <w:lvlJc w:val="left"/>
      <w:pPr>
        <w:tabs>
          <w:tab w:val="num" w:pos="720"/>
        </w:tabs>
        <w:ind w:left="720" w:hanging="360"/>
      </w:pPr>
      <w:rPr>
        <w:rFonts w:ascii="Symbol" w:hAnsi="Symbol" w:hint="default"/>
      </w:rPr>
    </w:lvl>
    <w:lvl w:ilvl="1" w:tplc="0E7C212E" w:tentative="1">
      <w:start w:val="1"/>
      <w:numFmt w:val="bullet"/>
      <w:lvlText w:val="o"/>
      <w:lvlJc w:val="left"/>
      <w:pPr>
        <w:tabs>
          <w:tab w:val="num" w:pos="1440"/>
        </w:tabs>
        <w:ind w:left="1440" w:hanging="360"/>
      </w:pPr>
      <w:rPr>
        <w:rFonts w:ascii="Courier New" w:hAnsi="Courier New" w:hint="default"/>
      </w:rPr>
    </w:lvl>
    <w:lvl w:ilvl="2" w:tplc="5D0CFF10" w:tentative="1">
      <w:start w:val="1"/>
      <w:numFmt w:val="bullet"/>
      <w:lvlText w:val=""/>
      <w:lvlJc w:val="left"/>
      <w:pPr>
        <w:tabs>
          <w:tab w:val="num" w:pos="2160"/>
        </w:tabs>
        <w:ind w:left="2160" w:hanging="360"/>
      </w:pPr>
      <w:rPr>
        <w:rFonts w:ascii="Wingdings" w:hAnsi="Wingdings" w:hint="default"/>
      </w:rPr>
    </w:lvl>
    <w:lvl w:ilvl="3" w:tplc="BFE8B49A" w:tentative="1">
      <w:start w:val="1"/>
      <w:numFmt w:val="bullet"/>
      <w:lvlText w:val=""/>
      <w:lvlJc w:val="left"/>
      <w:pPr>
        <w:tabs>
          <w:tab w:val="num" w:pos="2880"/>
        </w:tabs>
        <w:ind w:left="2880" w:hanging="360"/>
      </w:pPr>
      <w:rPr>
        <w:rFonts w:ascii="Symbol" w:hAnsi="Symbol" w:hint="default"/>
      </w:rPr>
    </w:lvl>
    <w:lvl w:ilvl="4" w:tplc="208A995E" w:tentative="1">
      <w:start w:val="1"/>
      <w:numFmt w:val="bullet"/>
      <w:lvlText w:val="o"/>
      <w:lvlJc w:val="left"/>
      <w:pPr>
        <w:tabs>
          <w:tab w:val="num" w:pos="3600"/>
        </w:tabs>
        <w:ind w:left="3600" w:hanging="360"/>
      </w:pPr>
      <w:rPr>
        <w:rFonts w:ascii="Courier New" w:hAnsi="Courier New" w:hint="default"/>
      </w:rPr>
    </w:lvl>
    <w:lvl w:ilvl="5" w:tplc="583C81BA" w:tentative="1">
      <w:start w:val="1"/>
      <w:numFmt w:val="bullet"/>
      <w:lvlText w:val=""/>
      <w:lvlJc w:val="left"/>
      <w:pPr>
        <w:tabs>
          <w:tab w:val="num" w:pos="4320"/>
        </w:tabs>
        <w:ind w:left="4320" w:hanging="360"/>
      </w:pPr>
      <w:rPr>
        <w:rFonts w:ascii="Wingdings" w:hAnsi="Wingdings" w:hint="default"/>
      </w:rPr>
    </w:lvl>
    <w:lvl w:ilvl="6" w:tplc="5DF29C64" w:tentative="1">
      <w:start w:val="1"/>
      <w:numFmt w:val="bullet"/>
      <w:lvlText w:val=""/>
      <w:lvlJc w:val="left"/>
      <w:pPr>
        <w:tabs>
          <w:tab w:val="num" w:pos="5040"/>
        </w:tabs>
        <w:ind w:left="5040" w:hanging="360"/>
      </w:pPr>
      <w:rPr>
        <w:rFonts w:ascii="Symbol" w:hAnsi="Symbol" w:hint="default"/>
      </w:rPr>
    </w:lvl>
    <w:lvl w:ilvl="7" w:tplc="44E43544" w:tentative="1">
      <w:start w:val="1"/>
      <w:numFmt w:val="bullet"/>
      <w:lvlText w:val="o"/>
      <w:lvlJc w:val="left"/>
      <w:pPr>
        <w:tabs>
          <w:tab w:val="num" w:pos="5760"/>
        </w:tabs>
        <w:ind w:left="5760" w:hanging="360"/>
      </w:pPr>
      <w:rPr>
        <w:rFonts w:ascii="Courier New" w:hAnsi="Courier New" w:hint="default"/>
      </w:rPr>
    </w:lvl>
    <w:lvl w:ilvl="8" w:tplc="D4704CC0" w:tentative="1">
      <w:start w:val="1"/>
      <w:numFmt w:val="bullet"/>
      <w:lvlText w:val=""/>
      <w:lvlJc w:val="left"/>
      <w:pPr>
        <w:tabs>
          <w:tab w:val="num" w:pos="6480"/>
        </w:tabs>
        <w:ind w:left="6480" w:hanging="360"/>
      </w:pPr>
      <w:rPr>
        <w:rFonts w:ascii="Wingdings" w:hAnsi="Wingdings" w:hint="default"/>
      </w:rPr>
    </w:lvl>
  </w:abstractNum>
  <w:abstractNum w:abstractNumId="31">
    <w:nsid w:val="7CC02B5C"/>
    <w:multiLevelType w:val="hybridMultilevel"/>
    <w:tmpl w:val="141847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DF31A30"/>
    <w:multiLevelType w:val="multilevel"/>
    <w:tmpl w:val="0804CA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E1E28D0"/>
    <w:multiLevelType w:val="hybridMultilevel"/>
    <w:tmpl w:val="BF129750"/>
    <w:lvl w:ilvl="0" w:tplc="F91A065E">
      <w:start w:val="1"/>
      <w:numFmt w:val="bullet"/>
      <w:lvlText w:val=""/>
      <w:lvlJc w:val="left"/>
      <w:pPr>
        <w:tabs>
          <w:tab w:val="num" w:pos="720"/>
        </w:tabs>
        <w:ind w:left="720" w:hanging="360"/>
      </w:pPr>
      <w:rPr>
        <w:rFonts w:ascii="Symbol" w:hAnsi="Symbol" w:hint="default"/>
      </w:rPr>
    </w:lvl>
    <w:lvl w:ilvl="1" w:tplc="BB4CCEDC" w:tentative="1">
      <w:start w:val="1"/>
      <w:numFmt w:val="bullet"/>
      <w:lvlText w:val="o"/>
      <w:lvlJc w:val="left"/>
      <w:pPr>
        <w:tabs>
          <w:tab w:val="num" w:pos="1440"/>
        </w:tabs>
        <w:ind w:left="1440" w:hanging="360"/>
      </w:pPr>
      <w:rPr>
        <w:rFonts w:ascii="Courier New" w:hAnsi="Courier New" w:hint="default"/>
      </w:rPr>
    </w:lvl>
    <w:lvl w:ilvl="2" w:tplc="6F407CB0" w:tentative="1">
      <w:start w:val="1"/>
      <w:numFmt w:val="bullet"/>
      <w:lvlText w:val=""/>
      <w:lvlJc w:val="left"/>
      <w:pPr>
        <w:tabs>
          <w:tab w:val="num" w:pos="2160"/>
        </w:tabs>
        <w:ind w:left="2160" w:hanging="360"/>
      </w:pPr>
      <w:rPr>
        <w:rFonts w:ascii="Wingdings" w:hAnsi="Wingdings" w:hint="default"/>
      </w:rPr>
    </w:lvl>
    <w:lvl w:ilvl="3" w:tplc="D1FA0CAC" w:tentative="1">
      <w:start w:val="1"/>
      <w:numFmt w:val="bullet"/>
      <w:lvlText w:val=""/>
      <w:lvlJc w:val="left"/>
      <w:pPr>
        <w:tabs>
          <w:tab w:val="num" w:pos="2880"/>
        </w:tabs>
        <w:ind w:left="2880" w:hanging="360"/>
      </w:pPr>
      <w:rPr>
        <w:rFonts w:ascii="Symbol" w:hAnsi="Symbol" w:hint="default"/>
      </w:rPr>
    </w:lvl>
    <w:lvl w:ilvl="4" w:tplc="7B0CE4BC" w:tentative="1">
      <w:start w:val="1"/>
      <w:numFmt w:val="bullet"/>
      <w:lvlText w:val="o"/>
      <w:lvlJc w:val="left"/>
      <w:pPr>
        <w:tabs>
          <w:tab w:val="num" w:pos="3600"/>
        </w:tabs>
        <w:ind w:left="3600" w:hanging="360"/>
      </w:pPr>
      <w:rPr>
        <w:rFonts w:ascii="Courier New" w:hAnsi="Courier New" w:hint="default"/>
      </w:rPr>
    </w:lvl>
    <w:lvl w:ilvl="5" w:tplc="80BC4104" w:tentative="1">
      <w:start w:val="1"/>
      <w:numFmt w:val="bullet"/>
      <w:lvlText w:val=""/>
      <w:lvlJc w:val="left"/>
      <w:pPr>
        <w:tabs>
          <w:tab w:val="num" w:pos="4320"/>
        </w:tabs>
        <w:ind w:left="4320" w:hanging="360"/>
      </w:pPr>
      <w:rPr>
        <w:rFonts w:ascii="Wingdings" w:hAnsi="Wingdings" w:hint="default"/>
      </w:rPr>
    </w:lvl>
    <w:lvl w:ilvl="6" w:tplc="80D86B08" w:tentative="1">
      <w:start w:val="1"/>
      <w:numFmt w:val="bullet"/>
      <w:lvlText w:val=""/>
      <w:lvlJc w:val="left"/>
      <w:pPr>
        <w:tabs>
          <w:tab w:val="num" w:pos="5040"/>
        </w:tabs>
        <w:ind w:left="5040" w:hanging="360"/>
      </w:pPr>
      <w:rPr>
        <w:rFonts w:ascii="Symbol" w:hAnsi="Symbol" w:hint="default"/>
      </w:rPr>
    </w:lvl>
    <w:lvl w:ilvl="7" w:tplc="B21A0984" w:tentative="1">
      <w:start w:val="1"/>
      <w:numFmt w:val="bullet"/>
      <w:lvlText w:val="o"/>
      <w:lvlJc w:val="left"/>
      <w:pPr>
        <w:tabs>
          <w:tab w:val="num" w:pos="5760"/>
        </w:tabs>
        <w:ind w:left="5760" w:hanging="360"/>
      </w:pPr>
      <w:rPr>
        <w:rFonts w:ascii="Courier New" w:hAnsi="Courier New" w:hint="default"/>
      </w:rPr>
    </w:lvl>
    <w:lvl w:ilvl="8" w:tplc="8B5A7142" w:tentative="1">
      <w:start w:val="1"/>
      <w:numFmt w:val="bullet"/>
      <w:lvlText w:val=""/>
      <w:lvlJc w:val="left"/>
      <w:pPr>
        <w:tabs>
          <w:tab w:val="num" w:pos="6480"/>
        </w:tabs>
        <w:ind w:left="6480" w:hanging="360"/>
      </w:pPr>
      <w:rPr>
        <w:rFonts w:ascii="Wingdings" w:hAnsi="Wingdings" w:hint="default"/>
      </w:rPr>
    </w:lvl>
  </w:abstractNum>
  <w:abstractNum w:abstractNumId="34">
    <w:nsid w:val="7E40214E"/>
    <w:multiLevelType w:val="hybridMultilevel"/>
    <w:tmpl w:val="F6D27C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1"/>
  </w:num>
  <w:num w:numId="3">
    <w:abstractNumId w:val="15"/>
  </w:num>
  <w:num w:numId="4">
    <w:abstractNumId w:val="11"/>
  </w:num>
  <w:num w:numId="5">
    <w:abstractNumId w:val="33"/>
  </w:num>
  <w:num w:numId="6">
    <w:abstractNumId w:val="8"/>
  </w:num>
  <w:num w:numId="7">
    <w:abstractNumId w:val="10"/>
  </w:num>
  <w:num w:numId="8">
    <w:abstractNumId w:val="0"/>
  </w:num>
  <w:num w:numId="9">
    <w:abstractNumId w:val="26"/>
  </w:num>
  <w:num w:numId="10">
    <w:abstractNumId w:val="30"/>
  </w:num>
  <w:num w:numId="11">
    <w:abstractNumId w:val="6"/>
  </w:num>
  <w:num w:numId="12">
    <w:abstractNumId w:val="7"/>
  </w:num>
  <w:num w:numId="13">
    <w:abstractNumId w:val="24"/>
  </w:num>
  <w:num w:numId="14">
    <w:abstractNumId w:val="19"/>
  </w:num>
  <w:num w:numId="15">
    <w:abstractNumId w:val="31"/>
  </w:num>
  <w:num w:numId="16">
    <w:abstractNumId w:val="22"/>
  </w:num>
  <w:num w:numId="17">
    <w:abstractNumId w:val="20"/>
  </w:num>
  <w:num w:numId="18">
    <w:abstractNumId w:val="1"/>
  </w:num>
  <w:num w:numId="19">
    <w:abstractNumId w:val="16"/>
  </w:num>
  <w:num w:numId="20">
    <w:abstractNumId w:val="3"/>
  </w:num>
  <w:num w:numId="21">
    <w:abstractNumId w:val="18"/>
  </w:num>
  <w:num w:numId="22">
    <w:abstractNumId w:val="5"/>
  </w:num>
  <w:num w:numId="23">
    <w:abstractNumId w:val="28"/>
  </w:num>
  <w:num w:numId="24">
    <w:abstractNumId w:val="27"/>
  </w:num>
  <w:num w:numId="25">
    <w:abstractNumId w:val="29"/>
  </w:num>
  <w:num w:numId="26">
    <w:abstractNumId w:val="4"/>
  </w:num>
  <w:num w:numId="27">
    <w:abstractNumId w:val="12"/>
  </w:num>
  <w:num w:numId="28">
    <w:abstractNumId w:val="17"/>
  </w:num>
  <w:num w:numId="29">
    <w:abstractNumId w:val="1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
  </w:num>
  <w:num w:numId="34">
    <w:abstractNumId w:val="9"/>
  </w:num>
  <w:num w:numId="35">
    <w:abstractNumId w:val="34"/>
  </w:num>
  <w:num w:numId="36">
    <w:abstractNumId w:val="2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48129">
      <o:colormenu v:ext="edit" fillcolor="none"/>
    </o:shapedefaults>
  </w:hdrShapeDefaults>
  <w:footnotePr>
    <w:footnote w:id="-1"/>
    <w:footnote w:id="0"/>
  </w:footnotePr>
  <w:endnotePr>
    <w:endnote w:id="-1"/>
    <w:endnote w:id="0"/>
  </w:endnotePr>
  <w:compat/>
  <w:rsids>
    <w:rsidRoot w:val="00202167"/>
    <w:rsid w:val="00024674"/>
    <w:rsid w:val="000528A3"/>
    <w:rsid w:val="0007147F"/>
    <w:rsid w:val="00072E44"/>
    <w:rsid w:val="000733A9"/>
    <w:rsid w:val="00085A2C"/>
    <w:rsid w:val="00090E83"/>
    <w:rsid w:val="000B56CF"/>
    <w:rsid w:val="00100294"/>
    <w:rsid w:val="00107C61"/>
    <w:rsid w:val="001240EC"/>
    <w:rsid w:val="00130791"/>
    <w:rsid w:val="00136B92"/>
    <w:rsid w:val="00145513"/>
    <w:rsid w:val="001461C0"/>
    <w:rsid w:val="00181B34"/>
    <w:rsid w:val="00184262"/>
    <w:rsid w:val="001903D3"/>
    <w:rsid w:val="001935F4"/>
    <w:rsid w:val="001A1CBE"/>
    <w:rsid w:val="001B3337"/>
    <w:rsid w:val="001C6A69"/>
    <w:rsid w:val="001D33ED"/>
    <w:rsid w:val="00202167"/>
    <w:rsid w:val="00205997"/>
    <w:rsid w:val="00212AE8"/>
    <w:rsid w:val="00213C5A"/>
    <w:rsid w:val="002203D3"/>
    <w:rsid w:val="0022412E"/>
    <w:rsid w:val="00233EA6"/>
    <w:rsid w:val="00237C0E"/>
    <w:rsid w:val="00242CCF"/>
    <w:rsid w:val="00251705"/>
    <w:rsid w:val="00273A00"/>
    <w:rsid w:val="00282C9B"/>
    <w:rsid w:val="0029298D"/>
    <w:rsid w:val="00293715"/>
    <w:rsid w:val="00295051"/>
    <w:rsid w:val="002A268B"/>
    <w:rsid w:val="002A6AA2"/>
    <w:rsid w:val="002C0120"/>
    <w:rsid w:val="002C6706"/>
    <w:rsid w:val="002D765E"/>
    <w:rsid w:val="002E0573"/>
    <w:rsid w:val="00325B8E"/>
    <w:rsid w:val="00327CC8"/>
    <w:rsid w:val="00336697"/>
    <w:rsid w:val="00346CBE"/>
    <w:rsid w:val="0035209D"/>
    <w:rsid w:val="00355F8F"/>
    <w:rsid w:val="0036392B"/>
    <w:rsid w:val="00365B9B"/>
    <w:rsid w:val="0039178E"/>
    <w:rsid w:val="003921CA"/>
    <w:rsid w:val="003A242B"/>
    <w:rsid w:val="003B250D"/>
    <w:rsid w:val="003C3AC5"/>
    <w:rsid w:val="003D3EF5"/>
    <w:rsid w:val="003E2227"/>
    <w:rsid w:val="003E2A30"/>
    <w:rsid w:val="0040240B"/>
    <w:rsid w:val="00410CF5"/>
    <w:rsid w:val="00412A98"/>
    <w:rsid w:val="00414727"/>
    <w:rsid w:val="00426ECC"/>
    <w:rsid w:val="0046620E"/>
    <w:rsid w:val="00466A0A"/>
    <w:rsid w:val="00466C69"/>
    <w:rsid w:val="00481E19"/>
    <w:rsid w:val="00493716"/>
    <w:rsid w:val="004B6B82"/>
    <w:rsid w:val="005054D4"/>
    <w:rsid w:val="00520331"/>
    <w:rsid w:val="00526419"/>
    <w:rsid w:val="0053204F"/>
    <w:rsid w:val="005424B3"/>
    <w:rsid w:val="00554538"/>
    <w:rsid w:val="00556773"/>
    <w:rsid w:val="00563DA2"/>
    <w:rsid w:val="005747C0"/>
    <w:rsid w:val="005A53D5"/>
    <w:rsid w:val="005B720F"/>
    <w:rsid w:val="005C2EBC"/>
    <w:rsid w:val="005C792D"/>
    <w:rsid w:val="005D24FF"/>
    <w:rsid w:val="005D2B4D"/>
    <w:rsid w:val="005F26CB"/>
    <w:rsid w:val="005F2F88"/>
    <w:rsid w:val="00610B76"/>
    <w:rsid w:val="00613F6E"/>
    <w:rsid w:val="006179E6"/>
    <w:rsid w:val="00633C2A"/>
    <w:rsid w:val="00672AD6"/>
    <w:rsid w:val="00684BDA"/>
    <w:rsid w:val="006854AB"/>
    <w:rsid w:val="006922ED"/>
    <w:rsid w:val="006A2530"/>
    <w:rsid w:val="006B0F92"/>
    <w:rsid w:val="006C1E8B"/>
    <w:rsid w:val="006E3D36"/>
    <w:rsid w:val="007020A3"/>
    <w:rsid w:val="007225E9"/>
    <w:rsid w:val="00733239"/>
    <w:rsid w:val="0073763C"/>
    <w:rsid w:val="00756609"/>
    <w:rsid w:val="00756C9F"/>
    <w:rsid w:val="007576CA"/>
    <w:rsid w:val="00763976"/>
    <w:rsid w:val="00770C8C"/>
    <w:rsid w:val="007826A8"/>
    <w:rsid w:val="00782DD9"/>
    <w:rsid w:val="007A186E"/>
    <w:rsid w:val="007B7616"/>
    <w:rsid w:val="007C1BB6"/>
    <w:rsid w:val="007C6B26"/>
    <w:rsid w:val="007D657B"/>
    <w:rsid w:val="007F4FA6"/>
    <w:rsid w:val="00830EEF"/>
    <w:rsid w:val="00833128"/>
    <w:rsid w:val="0084363E"/>
    <w:rsid w:val="008573FF"/>
    <w:rsid w:val="008653D1"/>
    <w:rsid w:val="00887C22"/>
    <w:rsid w:val="008945ED"/>
    <w:rsid w:val="0089583E"/>
    <w:rsid w:val="008A621C"/>
    <w:rsid w:val="008B6558"/>
    <w:rsid w:val="008C12CA"/>
    <w:rsid w:val="008C25BC"/>
    <w:rsid w:val="008D0762"/>
    <w:rsid w:val="008E6F0C"/>
    <w:rsid w:val="009026DB"/>
    <w:rsid w:val="009225D2"/>
    <w:rsid w:val="00935811"/>
    <w:rsid w:val="0094669B"/>
    <w:rsid w:val="0094749E"/>
    <w:rsid w:val="009630C9"/>
    <w:rsid w:val="00970E93"/>
    <w:rsid w:val="00975973"/>
    <w:rsid w:val="009908CF"/>
    <w:rsid w:val="009A2338"/>
    <w:rsid w:val="009B0434"/>
    <w:rsid w:val="009B084D"/>
    <w:rsid w:val="009B45DA"/>
    <w:rsid w:val="009B6215"/>
    <w:rsid w:val="009C25D0"/>
    <w:rsid w:val="009C488E"/>
    <w:rsid w:val="009D1B1D"/>
    <w:rsid w:val="009F06A4"/>
    <w:rsid w:val="00A21819"/>
    <w:rsid w:val="00A300B4"/>
    <w:rsid w:val="00A434CB"/>
    <w:rsid w:val="00A62009"/>
    <w:rsid w:val="00A623E5"/>
    <w:rsid w:val="00A653C3"/>
    <w:rsid w:val="00A706D1"/>
    <w:rsid w:val="00A7376E"/>
    <w:rsid w:val="00A76098"/>
    <w:rsid w:val="00A807FF"/>
    <w:rsid w:val="00A90732"/>
    <w:rsid w:val="00A94ACC"/>
    <w:rsid w:val="00A96C05"/>
    <w:rsid w:val="00AC0073"/>
    <w:rsid w:val="00AD5F7B"/>
    <w:rsid w:val="00AE52B4"/>
    <w:rsid w:val="00B33A42"/>
    <w:rsid w:val="00B376B2"/>
    <w:rsid w:val="00B57A72"/>
    <w:rsid w:val="00B62B01"/>
    <w:rsid w:val="00B8206D"/>
    <w:rsid w:val="00B9223E"/>
    <w:rsid w:val="00B950E9"/>
    <w:rsid w:val="00BB4918"/>
    <w:rsid w:val="00BB5E7A"/>
    <w:rsid w:val="00BD10AC"/>
    <w:rsid w:val="00BE679A"/>
    <w:rsid w:val="00C41723"/>
    <w:rsid w:val="00C60B95"/>
    <w:rsid w:val="00C82171"/>
    <w:rsid w:val="00C9546F"/>
    <w:rsid w:val="00C95A9C"/>
    <w:rsid w:val="00CA20C2"/>
    <w:rsid w:val="00CB190D"/>
    <w:rsid w:val="00CB323C"/>
    <w:rsid w:val="00CB7D98"/>
    <w:rsid w:val="00CC1D53"/>
    <w:rsid w:val="00CC7453"/>
    <w:rsid w:val="00CE19BC"/>
    <w:rsid w:val="00CE4B06"/>
    <w:rsid w:val="00D01841"/>
    <w:rsid w:val="00D02C7A"/>
    <w:rsid w:val="00D04046"/>
    <w:rsid w:val="00D17A12"/>
    <w:rsid w:val="00D57E43"/>
    <w:rsid w:val="00D654B6"/>
    <w:rsid w:val="00D656C8"/>
    <w:rsid w:val="00D71F06"/>
    <w:rsid w:val="00D72AFF"/>
    <w:rsid w:val="00D94018"/>
    <w:rsid w:val="00DB2918"/>
    <w:rsid w:val="00DB50AC"/>
    <w:rsid w:val="00DB7786"/>
    <w:rsid w:val="00DC34D1"/>
    <w:rsid w:val="00DD3A37"/>
    <w:rsid w:val="00DD3F51"/>
    <w:rsid w:val="00DD6B00"/>
    <w:rsid w:val="00DF15F2"/>
    <w:rsid w:val="00E11DF3"/>
    <w:rsid w:val="00E50211"/>
    <w:rsid w:val="00E6211C"/>
    <w:rsid w:val="00E874BF"/>
    <w:rsid w:val="00E90CB0"/>
    <w:rsid w:val="00EA6217"/>
    <w:rsid w:val="00EB2322"/>
    <w:rsid w:val="00EF32A7"/>
    <w:rsid w:val="00F21DF7"/>
    <w:rsid w:val="00F22B48"/>
    <w:rsid w:val="00F45E4E"/>
    <w:rsid w:val="00F54CA0"/>
    <w:rsid w:val="00F54D7A"/>
    <w:rsid w:val="00F621A6"/>
    <w:rsid w:val="00F72AE1"/>
    <w:rsid w:val="00F74AE4"/>
    <w:rsid w:val="00FA3365"/>
    <w:rsid w:val="00FA4706"/>
    <w:rsid w:val="00FB0619"/>
    <w:rsid w:val="00FB107F"/>
    <w:rsid w:val="00FB379A"/>
    <w:rsid w:val="00FB37C3"/>
    <w:rsid w:val="00FD1006"/>
    <w:rsid w:val="00FD6D3F"/>
    <w:rsid w:val="00FF5552"/>
    <w:rsid w:val="00FF6A53"/>
    <w:rsid w:val="00FF6BB8"/>
    <w:rsid w:val="00FF6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A9C"/>
    <w:rPr>
      <w:sz w:val="24"/>
      <w:szCs w:val="24"/>
    </w:rPr>
  </w:style>
  <w:style w:type="paragraph" w:styleId="Heading1">
    <w:name w:val="heading 1"/>
    <w:basedOn w:val="Normal"/>
    <w:next w:val="Normal"/>
    <w:qFormat/>
    <w:rsid w:val="00C95A9C"/>
    <w:pPr>
      <w:keepNext/>
      <w:numPr>
        <w:numId w:val="3"/>
      </w:numPr>
      <w:spacing w:before="240" w:after="60"/>
      <w:outlineLvl w:val="0"/>
    </w:pPr>
    <w:rPr>
      <w:rFonts w:ascii="Arial" w:hAnsi="Arial"/>
      <w:b/>
      <w:bCs/>
      <w:kern w:val="32"/>
      <w:sz w:val="28"/>
      <w:szCs w:val="32"/>
    </w:rPr>
  </w:style>
  <w:style w:type="paragraph" w:styleId="Heading2">
    <w:name w:val="heading 2"/>
    <w:basedOn w:val="Normal"/>
    <w:next w:val="Normal"/>
    <w:link w:val="Heading2Char"/>
    <w:qFormat/>
    <w:rsid w:val="00C95A9C"/>
    <w:pPr>
      <w:keepNext/>
      <w:numPr>
        <w:ilvl w:val="1"/>
        <w:numId w:val="3"/>
      </w:numPr>
      <w:spacing w:before="240" w:after="60"/>
      <w:outlineLvl w:val="1"/>
    </w:pPr>
    <w:rPr>
      <w:rFonts w:ascii="Arial" w:hAnsi="Arial"/>
      <w:b/>
      <w:bCs/>
      <w:i/>
      <w:iCs/>
      <w:sz w:val="28"/>
      <w:szCs w:val="28"/>
    </w:rPr>
  </w:style>
  <w:style w:type="paragraph" w:styleId="Heading3">
    <w:name w:val="heading 3"/>
    <w:basedOn w:val="Normal"/>
    <w:next w:val="Normal"/>
    <w:qFormat/>
    <w:rsid w:val="00C95A9C"/>
    <w:pPr>
      <w:keepNext/>
      <w:numPr>
        <w:ilvl w:val="2"/>
        <w:numId w:val="3"/>
      </w:numPr>
      <w:spacing w:before="240" w:after="60"/>
      <w:outlineLvl w:val="2"/>
    </w:pPr>
    <w:rPr>
      <w:rFonts w:ascii="Arial" w:hAnsi="Arial"/>
      <w:b/>
      <w:bCs/>
      <w:szCs w:val="26"/>
    </w:rPr>
  </w:style>
  <w:style w:type="paragraph" w:styleId="Heading4">
    <w:name w:val="heading 4"/>
    <w:basedOn w:val="Normal"/>
    <w:next w:val="Normal"/>
    <w:qFormat/>
    <w:rsid w:val="00C95A9C"/>
    <w:pPr>
      <w:keepNext/>
      <w:tabs>
        <w:tab w:val="left" w:pos="450"/>
      </w:tabs>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A9C"/>
    <w:pPr>
      <w:tabs>
        <w:tab w:val="center" w:pos="4320"/>
        <w:tab w:val="right" w:pos="8640"/>
      </w:tabs>
    </w:pPr>
  </w:style>
  <w:style w:type="paragraph" w:styleId="Footer">
    <w:name w:val="footer"/>
    <w:basedOn w:val="Normal"/>
    <w:link w:val="FooterChar"/>
    <w:uiPriority w:val="99"/>
    <w:rsid w:val="00C95A9C"/>
    <w:pPr>
      <w:tabs>
        <w:tab w:val="center" w:pos="4320"/>
        <w:tab w:val="right" w:pos="8640"/>
      </w:tabs>
    </w:pPr>
  </w:style>
  <w:style w:type="paragraph" w:styleId="TOC1">
    <w:name w:val="toc 1"/>
    <w:basedOn w:val="Normal"/>
    <w:next w:val="Normal"/>
    <w:autoRedefine/>
    <w:uiPriority w:val="39"/>
    <w:rsid w:val="00C95A9C"/>
  </w:style>
  <w:style w:type="paragraph" w:styleId="TOC2">
    <w:name w:val="toc 2"/>
    <w:basedOn w:val="Normal"/>
    <w:next w:val="Normal"/>
    <w:autoRedefine/>
    <w:uiPriority w:val="39"/>
    <w:rsid w:val="00C95A9C"/>
    <w:pPr>
      <w:ind w:left="240"/>
    </w:pPr>
  </w:style>
  <w:style w:type="paragraph" w:customStyle="1" w:styleId="CellBody">
    <w:name w:val="CellBody"/>
    <w:basedOn w:val="Normal"/>
    <w:rsid w:val="00C95A9C"/>
    <w:pPr>
      <w:spacing w:line="280" w:lineRule="exact"/>
    </w:pPr>
    <w:rPr>
      <w:rFonts w:ascii="New York" w:hAnsi="New York"/>
    </w:rPr>
  </w:style>
  <w:style w:type="paragraph" w:styleId="PlainText">
    <w:name w:val="Plain Text"/>
    <w:basedOn w:val="Normal"/>
    <w:rsid w:val="00C95A9C"/>
    <w:rPr>
      <w:rFonts w:ascii="Courier New" w:hAnsi="Courier New"/>
      <w:sz w:val="20"/>
    </w:rPr>
  </w:style>
  <w:style w:type="character" w:styleId="PageNumber">
    <w:name w:val="page number"/>
    <w:basedOn w:val="DefaultParagraphFont"/>
    <w:rsid w:val="00C95A9C"/>
  </w:style>
  <w:style w:type="paragraph" w:styleId="Caption">
    <w:name w:val="caption"/>
    <w:basedOn w:val="Normal"/>
    <w:next w:val="Normal"/>
    <w:qFormat/>
    <w:rsid w:val="00C95A9C"/>
    <w:pPr>
      <w:spacing w:before="120" w:after="120"/>
    </w:pPr>
    <w:rPr>
      <w:b/>
    </w:rPr>
  </w:style>
  <w:style w:type="paragraph" w:styleId="TOC3">
    <w:name w:val="toc 3"/>
    <w:basedOn w:val="Normal"/>
    <w:next w:val="Normal"/>
    <w:autoRedefine/>
    <w:uiPriority w:val="39"/>
    <w:rsid w:val="00C95A9C"/>
    <w:pPr>
      <w:ind w:left="480"/>
    </w:pPr>
  </w:style>
  <w:style w:type="paragraph" w:styleId="TOC4">
    <w:name w:val="toc 4"/>
    <w:basedOn w:val="Normal"/>
    <w:next w:val="Normal"/>
    <w:autoRedefine/>
    <w:semiHidden/>
    <w:rsid w:val="00C95A9C"/>
    <w:pPr>
      <w:ind w:left="720"/>
    </w:pPr>
  </w:style>
  <w:style w:type="paragraph" w:styleId="BalloonText">
    <w:name w:val="Balloon Text"/>
    <w:basedOn w:val="Normal"/>
    <w:link w:val="BalloonTextChar"/>
    <w:rsid w:val="00202167"/>
    <w:rPr>
      <w:rFonts w:ascii="Tahoma" w:hAnsi="Tahoma" w:cs="Tahoma"/>
      <w:sz w:val="16"/>
      <w:szCs w:val="16"/>
    </w:rPr>
  </w:style>
  <w:style w:type="character" w:customStyle="1" w:styleId="BalloonTextChar">
    <w:name w:val="Balloon Text Char"/>
    <w:basedOn w:val="DefaultParagraphFont"/>
    <w:link w:val="BalloonText"/>
    <w:rsid w:val="00202167"/>
    <w:rPr>
      <w:rFonts w:ascii="Tahoma" w:hAnsi="Tahoma" w:cs="Tahoma"/>
      <w:sz w:val="16"/>
      <w:szCs w:val="16"/>
    </w:rPr>
  </w:style>
  <w:style w:type="paragraph" w:styleId="ListParagraph">
    <w:name w:val="List Paragraph"/>
    <w:basedOn w:val="Normal"/>
    <w:uiPriority w:val="34"/>
    <w:qFormat/>
    <w:rsid w:val="00DB2918"/>
    <w:pPr>
      <w:ind w:left="720"/>
    </w:pPr>
    <w:rPr>
      <w:rFonts w:ascii="Times" w:eastAsia="Times" w:hAnsi="Times"/>
      <w:szCs w:val="20"/>
    </w:rPr>
  </w:style>
  <w:style w:type="character" w:customStyle="1" w:styleId="Heading2Char">
    <w:name w:val="Heading 2 Char"/>
    <w:basedOn w:val="DefaultParagraphFont"/>
    <w:link w:val="Heading2"/>
    <w:rsid w:val="00F22B48"/>
    <w:rPr>
      <w:rFonts w:ascii="Arial" w:hAnsi="Arial"/>
      <w:b/>
      <w:bCs/>
      <w:i/>
      <w:iCs/>
      <w:sz w:val="28"/>
      <w:szCs w:val="28"/>
    </w:rPr>
  </w:style>
  <w:style w:type="character" w:styleId="Hyperlink">
    <w:name w:val="Hyperlink"/>
    <w:basedOn w:val="DefaultParagraphFont"/>
    <w:rsid w:val="00EF32A7"/>
    <w:rPr>
      <w:color w:val="0000FF" w:themeColor="hyperlink"/>
      <w:u w:val="single"/>
    </w:rPr>
  </w:style>
  <w:style w:type="character" w:styleId="FollowedHyperlink">
    <w:name w:val="FollowedHyperlink"/>
    <w:basedOn w:val="DefaultParagraphFont"/>
    <w:rsid w:val="00B376B2"/>
    <w:rPr>
      <w:color w:val="800080" w:themeColor="followedHyperlink"/>
      <w:u w:val="single"/>
    </w:rPr>
  </w:style>
  <w:style w:type="character" w:customStyle="1" w:styleId="FooterChar">
    <w:name w:val="Footer Char"/>
    <w:basedOn w:val="DefaultParagraphFont"/>
    <w:link w:val="Footer"/>
    <w:uiPriority w:val="99"/>
    <w:rsid w:val="00FD1006"/>
    <w:rPr>
      <w:sz w:val="24"/>
      <w:szCs w:val="24"/>
    </w:rPr>
  </w:style>
</w:styles>
</file>

<file path=word/webSettings.xml><?xml version="1.0" encoding="utf-8"?>
<w:webSettings xmlns:r="http://schemas.openxmlformats.org/officeDocument/2006/relationships" xmlns:w="http://schemas.openxmlformats.org/wordprocessingml/2006/main">
  <w:divs>
    <w:div w:id="268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labdoc.jlab.org/docushare/dsweb/Get/Document-23437" TargetMode="External"/><Relationship Id="rId18" Type="http://schemas.openxmlformats.org/officeDocument/2006/relationships/hyperlink" Target="http://www.jlab.org/accel/inj_group/pdf/elec/fets.html"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jlabdoc.jlab.org/docushare/dsweb/Get/Document-23437" TargetMode="External"/><Relationship Id="rId17" Type="http://schemas.openxmlformats.org/officeDocument/2006/relationships/hyperlink" Target="http://www.jlab.org/accel/inj_group/pdf/elec/fet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labdoc.jlab.org/docushare/dsweb/Get/Document-23437"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labdoc.jlab.org/docushare/dsweb/Get/Document-25743/ACC-10002.120-OSP.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www.jlab.org/ehs/ehsmanual/6111.ht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jlabdoc.jlab.org/docushare/dsweb/Get/Document-16326" TargetMode="External"/><Relationship Id="rId14" Type="http://schemas.openxmlformats.org/officeDocument/2006/relationships/image" Target="media/image2.jpeg"/><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oelker\LOCALS~1\Temp\SOP_PM_0711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1EAF-5E1C-4869-89AC-F10777F5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SOP_PM_071116.dot</Template>
  <TotalTime>0</TotalTime>
  <Pages>19</Pages>
  <Words>4276</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27423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poelker</dc:creator>
  <cp:keywords/>
  <dc:description/>
  <cp:lastModifiedBy>marcy</cp:lastModifiedBy>
  <cp:revision>2</cp:revision>
  <cp:lastPrinted>2009-10-16T14:46:00Z</cp:lastPrinted>
  <dcterms:created xsi:type="dcterms:W3CDTF">2010-06-29T17:48:00Z</dcterms:created>
  <dcterms:modified xsi:type="dcterms:W3CDTF">2010-06-29T17:48:00Z</dcterms:modified>
</cp:coreProperties>
</file>