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29" w:rsidRDefault="00AB7B67" w:rsidP="000E1CB3">
      <w:pPr>
        <w:pStyle w:val="CompanyName"/>
        <w:framePr w:w="6091" w:h="1430" w:wrap="notBeside"/>
      </w:pPr>
      <w:r>
        <w:t>JLab-TN-</w:t>
      </w:r>
      <w:r w:rsidR="006B0B32">
        <w:t>10-003</w:t>
      </w:r>
    </w:p>
    <w:p w:rsidR="000E1CB3" w:rsidRDefault="000E27EC" w:rsidP="000E1CB3">
      <w:pPr>
        <w:pStyle w:val="CompanyName"/>
        <w:framePr w:w="6091" w:h="1430" w:wrap="notBeside"/>
      </w:pPr>
      <w:r>
        <w:t>27</w:t>
      </w:r>
      <w:r w:rsidR="000E1CB3">
        <w:t>–January-2010</w:t>
      </w:r>
      <w:r w:rsidR="00AB7B67">
        <w:t xml:space="preserve">  </w:t>
      </w:r>
    </w:p>
    <w:p w:rsidR="003B6F29" w:rsidRDefault="000E1CB3" w:rsidP="000E1CB3">
      <w:pPr>
        <w:pStyle w:val="CompanyName"/>
        <w:framePr w:w="6091" w:h="1430" w:wrap="notBeside"/>
      </w:pPr>
      <w:r>
        <w:t>Marcy Stutzman</w:t>
      </w:r>
    </w:p>
    <w:p w:rsidR="003B6F29" w:rsidRDefault="003B6F29">
      <w:pPr>
        <w:pStyle w:val="ReturnAddress"/>
        <w:framePr w:wrap="notBeside"/>
      </w:pPr>
    </w:p>
    <w:p w:rsidR="003B6F29" w:rsidRDefault="007A51DA">
      <w:pPr>
        <w:pStyle w:val="TitleCover"/>
      </w:pPr>
      <w:r>
        <w:t>DC NEG sputtering</w:t>
      </w:r>
    </w:p>
    <w:p w:rsidR="003B6F29" w:rsidRDefault="00E83155">
      <w:pPr>
        <w:pStyle w:val="SubtitleCover"/>
        <w:sectPr w:rsidR="003B6F29">
          <w:headerReference w:type="default" r:id="rId8"/>
          <w:footerReference w:type="even" r:id="rId9"/>
          <w:footerReference w:type="default" r:id="rId10"/>
          <w:headerReference w:type="first" r:id="rId11"/>
          <w:footerReference w:type="first" r:id="rId12"/>
          <w:pgSz w:w="12240" w:h="15840" w:code="1"/>
          <w:pgMar w:top="1440" w:right="1800" w:bottom="1440" w:left="1800" w:header="965" w:footer="965" w:gutter="0"/>
          <w:pgNumType w:start="1"/>
          <w:cols w:space="720"/>
          <w:titlePg/>
        </w:sectPr>
      </w:pPr>
      <w:r>
        <w:t xml:space="preserve">A DC sputtering system is used at Jefferson Lab to coat chambers with a Ti-Zr-V non-evaporable getter coating. </w:t>
      </w:r>
    </w:p>
    <w:p w:rsidR="003B6F29" w:rsidRDefault="00AB7B67">
      <w:pPr>
        <w:pStyle w:val="Title"/>
      </w:pPr>
      <w:r>
        <w:lastRenderedPageBreak/>
        <w:t>Motivation</w:t>
      </w:r>
    </w:p>
    <w:p w:rsidR="007A51DA" w:rsidRDefault="007A51DA" w:rsidP="007A51DA">
      <w:pPr>
        <w:pStyle w:val="BodyText"/>
        <w:ind w:left="0"/>
      </w:pPr>
      <w:r>
        <w:t>Non-evaporable getters (NEGs) in a vacuum system are useful for their high pump speed for hydrogen and pumping capability for reactive gasses, primarily oxygen, nitrogen and water??  Getter material sintered to substrates can be used to add modular pumps to a system, and are activated at temperatures up to 450</w:t>
      </w:r>
      <w:r w:rsidR="000E1CB3">
        <w:rPr>
          <w:rFonts w:cs="Arial"/>
        </w:rPr>
        <w:t>°</w:t>
      </w:r>
      <w:r>
        <w:t>C or more through resistive heating of the substrate.  The low-activation-temperature alloy of Ti-Zr-V in an approximately 1:1:1 ratio has been developed and shown to activate at the moderate temperature of a 250</w:t>
      </w:r>
      <w:r w:rsidR="000E1CB3">
        <w:rPr>
          <w:rFonts w:cs="Arial"/>
        </w:rPr>
        <w:t>°</w:t>
      </w:r>
      <w:r>
        <w:t xml:space="preserve">C bakeout, and is therefore appropriate for a coating on beampipes, where it can be activated during bakeout. </w:t>
      </w:r>
      <w:r w:rsidR="00E83155">
        <w:t xml:space="preserve">A coated beampipe or chamber adds distributed pumping and can effectively eliminate net outgassing from the walls.  </w:t>
      </w:r>
      <w:r>
        <w:t xml:space="preserve"> </w:t>
      </w:r>
    </w:p>
    <w:p w:rsidR="003B6F29" w:rsidRDefault="007A51DA" w:rsidP="007A51DA">
      <w:pPr>
        <w:pStyle w:val="BodyText"/>
        <w:ind w:left="0"/>
      </w:pPr>
      <w:r>
        <w:t>Ti-Zr-V coatings with pump speeds up to 10 L/s/cm</w:t>
      </w:r>
      <w:r w:rsidRPr="000E1CB3">
        <w:rPr>
          <w:vertAlign w:val="superscript"/>
        </w:rPr>
        <w:t>2</w:t>
      </w:r>
      <w:r>
        <w:t xml:space="preserve"> are commercially available, deposited using DC magnetron sputtering to make the process commercially viable.  We have been using a non-magnetron DC sputtering system to coat the 3” diameter beampipe leading from the CEBAF polarized electron guns to the beamline for the past 10 years</w:t>
      </w:r>
      <w:r w:rsidR="00E83155">
        <w:t>.  The measured pump speed of our coating is a modest</w:t>
      </w:r>
      <w:r w:rsidR="000E1CB3">
        <w:t xml:space="preserve"> 0.02 L/s/cm</w:t>
      </w:r>
      <w:r w:rsidR="00E83155" w:rsidRPr="000E1CB3">
        <w:rPr>
          <w:vertAlign w:val="superscript"/>
        </w:rPr>
        <w:t>2</w:t>
      </w:r>
      <w:r w:rsidR="00E83155">
        <w:t xml:space="preserve">, but has worked well as a distributed pump, reducing electron stimulated desorbtion at the gun exit and providing </w:t>
      </w:r>
      <w:r>
        <w:t xml:space="preserve">additional pumping to isolate the electron guns from the poorer vacuum of the beamline. </w:t>
      </w:r>
    </w:p>
    <w:p w:rsidR="007A51DA" w:rsidRDefault="007A51DA" w:rsidP="007A51DA">
      <w:pPr>
        <w:pStyle w:val="BodyText"/>
        <w:ind w:left="0"/>
      </w:pPr>
      <w:r>
        <w:t>The DC non-magnetron sputtering technique used at Jefferson Lab, based on the meth</w:t>
      </w:r>
      <w:r w:rsidR="00985D10">
        <w:t>ods described by Benvenuti</w:t>
      </w:r>
      <w:r w:rsidR="00EB57AA">
        <w:rPr>
          <w:rStyle w:val="EndnoteReference"/>
        </w:rPr>
        <w:endnoteReference w:id="1"/>
      </w:r>
      <w:r>
        <w:t xml:space="preserve">and commercialized by SAES, is described here. </w:t>
      </w:r>
    </w:p>
    <w:p w:rsidR="003B6F29" w:rsidRDefault="00AB7B67">
      <w:pPr>
        <w:pStyle w:val="Title"/>
      </w:pPr>
      <w:r>
        <w:t>Equipment and Supplies Required</w:t>
      </w:r>
    </w:p>
    <w:p w:rsidR="003B6F29" w:rsidRDefault="003B6F29">
      <w:pPr>
        <w:pStyle w:val="BodyText"/>
      </w:pPr>
    </w:p>
    <w:p w:rsidR="003B6F29" w:rsidRDefault="00AB7B67">
      <w:pPr>
        <w:pStyle w:val="Heading1"/>
      </w:pPr>
      <w:r>
        <w:t>Consumable Supplies Required</w:t>
      </w:r>
    </w:p>
    <w:p w:rsidR="003B6F29" w:rsidRDefault="00AB7B67">
      <w:pPr>
        <w:pStyle w:val="BodyText"/>
      </w:pPr>
      <w:r>
        <w:t xml:space="preserve">This is where you detail all the needed stuff for the process: </w:t>
      </w:r>
    </w:p>
    <w:p w:rsidR="003B6F29" w:rsidRDefault="007A51DA">
      <w:pPr>
        <w:pStyle w:val="ListNumber"/>
        <w:numPr>
          <w:ilvl w:val="0"/>
          <w:numId w:val="15"/>
        </w:numPr>
      </w:pPr>
      <w:r>
        <w:t>Tita</w:t>
      </w:r>
      <w:r w:rsidR="005A3219">
        <w:t>nium wire,</w:t>
      </w:r>
      <w:r>
        <w:t xml:space="preserve">1 mm diameter, Goodfellow </w:t>
      </w:r>
      <w:r w:rsidR="005A3219">
        <w:t>912-044-66 ($44/m)</w:t>
      </w:r>
    </w:p>
    <w:p w:rsidR="003B6F29" w:rsidRDefault="007A51DA">
      <w:pPr>
        <w:pStyle w:val="ListNumber"/>
        <w:numPr>
          <w:ilvl w:val="0"/>
          <w:numId w:val="15"/>
        </w:numPr>
      </w:pPr>
      <w:r>
        <w:t>Zirconium wire,</w:t>
      </w:r>
      <w:r w:rsidR="005A3219">
        <w:t xml:space="preserve"> </w:t>
      </w:r>
      <w:r>
        <w:t>1 mm diameter, Goodfellow</w:t>
      </w:r>
      <w:r w:rsidR="005A3219">
        <w:t xml:space="preserve"> 717-718-67 ($60/m)</w:t>
      </w:r>
    </w:p>
    <w:p w:rsidR="007A51DA" w:rsidRDefault="007A51DA">
      <w:pPr>
        <w:pStyle w:val="ListNumber"/>
        <w:numPr>
          <w:ilvl w:val="0"/>
          <w:numId w:val="15"/>
        </w:numPr>
      </w:pPr>
      <w:r>
        <w:t>Vanadium wire,1 mm diameter, Goodfellow</w:t>
      </w:r>
      <w:r w:rsidR="005A3219">
        <w:t xml:space="preserve"> 021-796-72 ($225/m)</w:t>
      </w:r>
    </w:p>
    <w:p w:rsidR="007A51DA" w:rsidRDefault="007A51DA">
      <w:pPr>
        <w:pStyle w:val="ListNumber"/>
        <w:numPr>
          <w:ilvl w:val="0"/>
          <w:numId w:val="15"/>
        </w:numPr>
      </w:pPr>
      <w:r>
        <w:t>Noble gas for sputtering: Ar or Kr</w:t>
      </w:r>
      <w:r w:rsidR="005A3219">
        <w:t>, Ultra-high purity</w:t>
      </w:r>
    </w:p>
    <w:p w:rsidR="003B6F29" w:rsidRDefault="00AB7B67">
      <w:pPr>
        <w:pStyle w:val="Heading1"/>
        <w:ind w:left="0"/>
      </w:pPr>
      <w:r>
        <w:t>Equipment Required</w:t>
      </w:r>
    </w:p>
    <w:p w:rsidR="003B6F29" w:rsidRDefault="007A51DA" w:rsidP="007A51DA">
      <w:pPr>
        <w:pStyle w:val="ListNumber"/>
        <w:numPr>
          <w:ilvl w:val="0"/>
          <w:numId w:val="25"/>
        </w:numPr>
      </w:pPr>
      <w:r>
        <w:t xml:space="preserve">Ion pump power supply with reversible polarity: </w:t>
      </w:r>
      <w:r w:rsidR="007A3048">
        <w:t>Varian 921-0062, 6 kV/2</w:t>
      </w:r>
      <w:r>
        <w:t>00 mA</w:t>
      </w:r>
      <w:r w:rsidR="007A3048">
        <w:t xml:space="preserve"> ion pump power supply</w:t>
      </w:r>
    </w:p>
    <w:p w:rsidR="007A51DA" w:rsidRDefault="00674388" w:rsidP="007A51DA">
      <w:pPr>
        <w:pStyle w:val="ListNumber"/>
        <w:numPr>
          <w:ilvl w:val="0"/>
          <w:numId w:val="25"/>
        </w:numPr>
      </w:pPr>
      <w:r>
        <w:t xml:space="preserve">“Re-entrant” </w:t>
      </w:r>
      <w:r w:rsidR="007A51DA">
        <w:t>High voltage vacuum feedthrough</w:t>
      </w:r>
      <w:r w:rsidR="002267EE">
        <w:t>s</w:t>
      </w:r>
      <w:r>
        <w:t xml:space="preserve"> – this avoids sputter coating the ceramic</w:t>
      </w:r>
      <w:r w:rsidR="002267EE">
        <w:t xml:space="preserve">, such as </w:t>
      </w:r>
      <w:r>
        <w:t>Duniway</w:t>
      </w:r>
      <w:r w:rsidR="002267EE">
        <w:t xml:space="preserve"> part number FT-PE-218</w:t>
      </w:r>
    </w:p>
    <w:p w:rsidR="007A51DA" w:rsidRDefault="007A51DA" w:rsidP="007A51DA">
      <w:pPr>
        <w:pStyle w:val="ListNumber"/>
        <w:numPr>
          <w:ilvl w:val="0"/>
          <w:numId w:val="25"/>
        </w:numPr>
      </w:pPr>
      <w:r>
        <w:t>Bellows</w:t>
      </w:r>
      <w:r w:rsidR="002267EE">
        <w:t xml:space="preserve"> support</w:t>
      </w:r>
      <w:r>
        <w:t xml:space="preserve"> assembly</w:t>
      </w:r>
      <w:r w:rsidR="002267EE">
        <w:t xml:space="preserve"> (Thompson rails)</w:t>
      </w:r>
      <w:r>
        <w:t xml:space="preserve"> with springs</w:t>
      </w:r>
      <w:r w:rsidR="002267EE">
        <w:t xml:space="preserve"> and adjustable stops</w:t>
      </w:r>
      <w:r>
        <w:t xml:space="preserve"> to tension getter wires</w:t>
      </w:r>
    </w:p>
    <w:p w:rsidR="007A51DA" w:rsidRDefault="007A51DA" w:rsidP="007A51DA">
      <w:pPr>
        <w:pStyle w:val="ListNumber"/>
        <w:numPr>
          <w:ilvl w:val="0"/>
          <w:numId w:val="25"/>
        </w:numPr>
      </w:pPr>
      <w:r>
        <w:t xml:space="preserve">Leak valve </w:t>
      </w:r>
      <w:r w:rsidR="00985D10">
        <w:t xml:space="preserve">(manual, though automated would be helpful to maintain pressure) </w:t>
      </w:r>
      <w:r>
        <w:t>for gas inlet</w:t>
      </w:r>
      <w:r w:rsidR="00985D10">
        <w:t xml:space="preserve"> </w:t>
      </w:r>
    </w:p>
    <w:p w:rsidR="007A51DA" w:rsidRDefault="007A51DA" w:rsidP="007A51DA">
      <w:pPr>
        <w:pStyle w:val="ListNumber"/>
        <w:numPr>
          <w:ilvl w:val="0"/>
          <w:numId w:val="25"/>
        </w:numPr>
      </w:pPr>
      <w:r>
        <w:t>Gas i</w:t>
      </w:r>
      <w:r w:rsidR="00087AE6">
        <w:t>nlet manifold (bakable)</w:t>
      </w:r>
      <w:r w:rsidR="002267EE">
        <w:t xml:space="preserve"> with pumpout port</w:t>
      </w:r>
    </w:p>
    <w:p w:rsidR="007A51DA" w:rsidRDefault="007A51DA" w:rsidP="007A51DA">
      <w:pPr>
        <w:pStyle w:val="ListNumber"/>
        <w:numPr>
          <w:ilvl w:val="0"/>
          <w:numId w:val="25"/>
        </w:numPr>
      </w:pPr>
      <w:r>
        <w:t>Vacuum pump with valve to throttle pump speed</w:t>
      </w:r>
    </w:p>
    <w:p w:rsidR="00087AE6" w:rsidRDefault="00087AE6" w:rsidP="007A51DA">
      <w:pPr>
        <w:pStyle w:val="ListNumber"/>
        <w:numPr>
          <w:ilvl w:val="0"/>
          <w:numId w:val="25"/>
        </w:numPr>
      </w:pPr>
      <w:r>
        <w:t>Pressure interlock for high voltage supply</w:t>
      </w:r>
    </w:p>
    <w:p w:rsidR="003B6F29" w:rsidRDefault="003B6F29">
      <w:pPr>
        <w:pStyle w:val="BodyText"/>
      </w:pPr>
    </w:p>
    <w:p w:rsidR="006A4739" w:rsidRDefault="00197279" w:rsidP="006A4739">
      <w:pPr>
        <w:pStyle w:val="BodyText"/>
        <w:keepNext/>
        <w:ind w:left="0"/>
      </w:pPr>
      <w:r>
        <w:rPr>
          <w:noProof/>
        </w:rPr>
        <w:drawing>
          <wp:inline distT="0" distB="0" distL="0" distR="0">
            <wp:extent cx="5486400" cy="2631440"/>
            <wp:effectExtent l="19050" t="0" r="0" b="0"/>
            <wp:docPr id="1"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3" cstate="print"/>
                    <a:stretch>
                      <a:fillRect/>
                    </a:stretch>
                  </pic:blipFill>
                  <pic:spPr>
                    <a:xfrm>
                      <a:off x="0" y="0"/>
                      <a:ext cx="5486400" cy="2631440"/>
                    </a:xfrm>
                    <a:prstGeom prst="rect">
                      <a:avLst/>
                    </a:prstGeom>
                  </pic:spPr>
                </pic:pic>
              </a:graphicData>
            </a:graphic>
          </wp:inline>
        </w:drawing>
      </w:r>
    </w:p>
    <w:p w:rsidR="00197279" w:rsidRPr="006A4739" w:rsidRDefault="006A4739" w:rsidP="006A4739">
      <w:pPr>
        <w:pStyle w:val="Caption"/>
        <w:numPr>
          <w:ilvl w:val="0"/>
          <w:numId w:val="0"/>
        </w:numPr>
        <w:rPr>
          <w:rStyle w:val="Emphasis"/>
        </w:rPr>
      </w:pPr>
      <w:r w:rsidRPr="006A4739">
        <w:rPr>
          <w:rStyle w:val="Emphasis"/>
        </w:rPr>
        <w:t xml:space="preserve">Figure </w:t>
      </w:r>
      <w:r w:rsidRPr="006A4739">
        <w:rPr>
          <w:rStyle w:val="Emphasis"/>
        </w:rPr>
        <w:fldChar w:fldCharType="begin"/>
      </w:r>
      <w:r w:rsidRPr="006A4739">
        <w:rPr>
          <w:rStyle w:val="Emphasis"/>
        </w:rPr>
        <w:instrText xml:space="preserve"> SEQ Figure \* ARABIC </w:instrText>
      </w:r>
      <w:r w:rsidRPr="006A4739">
        <w:rPr>
          <w:rStyle w:val="Emphasis"/>
        </w:rPr>
        <w:fldChar w:fldCharType="separate"/>
      </w:r>
      <w:r w:rsidR="006B0B32">
        <w:rPr>
          <w:rStyle w:val="Emphasis"/>
          <w:noProof/>
        </w:rPr>
        <w:t>1</w:t>
      </w:r>
      <w:r w:rsidRPr="006A4739">
        <w:rPr>
          <w:rStyle w:val="Emphasis"/>
        </w:rPr>
        <w:fldChar w:fldCharType="end"/>
      </w:r>
      <w:r>
        <w:rPr>
          <w:rStyle w:val="Emphasis"/>
        </w:rPr>
        <w:t xml:space="preserve">: </w:t>
      </w:r>
      <w:r w:rsidRPr="006A4739">
        <w:rPr>
          <w:rStyle w:val="Emphasis"/>
          <w:rFonts w:ascii="Arial" w:hAnsi="Arial" w:cs="Arial"/>
        </w:rPr>
        <w:t>Sputtering setup schematic</w:t>
      </w:r>
    </w:p>
    <w:p w:rsidR="003B6F29" w:rsidRDefault="00AB7B67">
      <w:pPr>
        <w:pStyle w:val="Title"/>
      </w:pPr>
      <w:r>
        <w:t>Procedure</w:t>
      </w:r>
    </w:p>
    <w:p w:rsidR="00985D10" w:rsidRDefault="007A51DA" w:rsidP="007A51DA">
      <w:pPr>
        <w:pStyle w:val="ListNumber"/>
        <w:numPr>
          <w:ilvl w:val="0"/>
          <w:numId w:val="0"/>
        </w:numPr>
      </w:pPr>
      <w:r>
        <w:t>T</w:t>
      </w:r>
      <w:r w:rsidR="00DB776A">
        <w:t xml:space="preserve">wist the </w:t>
      </w:r>
      <w:r>
        <w:t>three wires, Ti, Zr and V, together</w:t>
      </w:r>
      <w:r w:rsidR="00DB776A">
        <w:t xml:space="preserve"> to get a uniform coating</w:t>
      </w:r>
      <w:r w:rsidR="006370B5">
        <w:t xml:space="preserve"> and keep the wires together in the pipe</w:t>
      </w:r>
      <w:r>
        <w:t xml:space="preserve">.  </w:t>
      </w:r>
      <w:r w:rsidR="00985D10">
        <w:t>Hold both ends of the wires with</w:t>
      </w:r>
      <w:r>
        <w:t xml:space="preserve"> clean vice-grip plier</w:t>
      </w:r>
      <w:r w:rsidR="00985D10">
        <w:t xml:space="preserve">s.  Secure one end to a bench, and manually twist the other end.  Twist until the spacing is ¼ to 5/16 inch for the same material (Ti-Ti spacing).   </w:t>
      </w:r>
    </w:p>
    <w:p w:rsidR="007A51DA" w:rsidRDefault="00DB776A" w:rsidP="007A51DA">
      <w:pPr>
        <w:pStyle w:val="ListNumber"/>
        <w:numPr>
          <w:ilvl w:val="0"/>
          <w:numId w:val="0"/>
        </w:numPr>
      </w:pPr>
      <w:r>
        <w:t xml:space="preserve">Clean the beampipe </w:t>
      </w:r>
      <w:r w:rsidR="007A51DA">
        <w:t xml:space="preserve">to </w:t>
      </w:r>
      <w:r>
        <w:t xml:space="preserve">JLab </w:t>
      </w:r>
      <w:r w:rsidR="007A51DA">
        <w:t>UHV standards</w:t>
      </w:r>
      <w:r>
        <w:t>: degrease</w:t>
      </w:r>
      <w:r w:rsidR="007A51DA">
        <w:t xml:space="preserve"> with Micro90 cleaner in an ul</w:t>
      </w:r>
      <w:r>
        <w:t>trasonic cleaner, rinse</w:t>
      </w:r>
      <w:r w:rsidR="007A51DA">
        <w:t xml:space="preserve"> in several cycles of de-ionized (DI) water </w:t>
      </w:r>
      <w:r>
        <w:t>in an ultrasonic cleaner, rinse</w:t>
      </w:r>
      <w:r w:rsidR="007A51DA">
        <w:t xml:space="preserve"> in acetone then methanol, </w:t>
      </w:r>
      <w:r>
        <w:t>with a final rinse</w:t>
      </w:r>
      <w:r w:rsidR="007A51DA">
        <w:t xml:space="preserve"> in hot de-ionized water. </w:t>
      </w:r>
    </w:p>
    <w:p w:rsidR="007A51DA" w:rsidRDefault="00DB776A" w:rsidP="007A51DA">
      <w:pPr>
        <w:pStyle w:val="ListNumber"/>
        <w:numPr>
          <w:ilvl w:val="0"/>
          <w:numId w:val="0"/>
        </w:numPr>
      </w:pPr>
      <w:r>
        <w:t xml:space="preserve">Assemble the sputtering apparatus with the beampipe installed </w:t>
      </w:r>
      <w:r w:rsidR="007A51DA">
        <w:t xml:space="preserve">between the two end ports: one with the gas inlet, and one with the pumping port. </w:t>
      </w:r>
      <w:r w:rsidR="00197279">
        <w:t>(See Figure 1)</w:t>
      </w:r>
    </w:p>
    <w:p w:rsidR="00A56A34" w:rsidRDefault="00A56A34" w:rsidP="007A51DA">
      <w:pPr>
        <w:pStyle w:val="ListNumber"/>
        <w:numPr>
          <w:ilvl w:val="0"/>
          <w:numId w:val="0"/>
        </w:numPr>
      </w:pPr>
      <w:r>
        <w:t>If desired, put a glass or metal “coupon” in the system at the distance of the tube wall: this can be used for analysis of the getter composition. Measuring before and af</w:t>
      </w:r>
      <w:r w:rsidR="000E1CB3">
        <w:t>ter can tell the weight/cm</w:t>
      </w:r>
      <w:r w:rsidRPr="000E1CB3">
        <w:rPr>
          <w:vertAlign w:val="superscript"/>
        </w:rPr>
        <w:t>2</w:t>
      </w:r>
      <w:r>
        <w:t xml:space="preserve">, surface analysis can tell the composition and porosity. </w:t>
      </w:r>
    </w:p>
    <w:p w:rsidR="00DB776A" w:rsidRDefault="00DB776A" w:rsidP="007A51DA">
      <w:pPr>
        <w:pStyle w:val="ListNumber"/>
        <w:numPr>
          <w:ilvl w:val="0"/>
          <w:numId w:val="0"/>
        </w:numPr>
      </w:pPr>
      <w:r>
        <w:t xml:space="preserve">Install twisted wire in the beampipe using </w:t>
      </w:r>
      <w:r w:rsidR="007A51DA">
        <w:t>a barrel connector is used to hold it to the high voltage feedthrough</w:t>
      </w:r>
      <w:r>
        <w:t>s</w:t>
      </w:r>
      <w:r w:rsidR="007A51DA">
        <w:t xml:space="preserve"> at both ends.  One end has a bellows, with rails to support the HV feedthrough and spring</w:t>
      </w:r>
      <w:r>
        <w:t xml:space="preserve">s to tension the wire as it heats.  Adjust the set screws on the spring supports to tension the wire.  Verify that the wire is not shorting to ground. </w:t>
      </w:r>
    </w:p>
    <w:p w:rsidR="00674388" w:rsidRDefault="00674388" w:rsidP="00674388">
      <w:pPr>
        <w:pStyle w:val="ListNumber"/>
        <w:numPr>
          <w:ilvl w:val="0"/>
          <w:numId w:val="0"/>
        </w:numPr>
        <w:ind w:left="720"/>
      </w:pPr>
      <w:r>
        <w:t xml:space="preserve">If sputter coating a chamber rather than a pipe, make a mesh cage with the Ti-Zr-V wire, using Ti wires for twist ties, with a spacing to the chamber wall ~1.5 inches.  </w:t>
      </w:r>
    </w:p>
    <w:p w:rsidR="00DB776A" w:rsidRDefault="001B0A8B" w:rsidP="007A51DA">
      <w:pPr>
        <w:pStyle w:val="ListNumber"/>
        <w:numPr>
          <w:ilvl w:val="0"/>
          <w:numId w:val="0"/>
        </w:numPr>
      </w:pPr>
      <w:r>
        <w:t>Evacuate the gas inlet manifold with a dry rough pump and bake</w:t>
      </w:r>
      <w:r w:rsidR="00DB776A">
        <w:t xml:space="preserve"> to 150</w:t>
      </w:r>
      <w:r w:rsidR="000E1CB3">
        <w:rPr>
          <w:rFonts w:cs="Arial"/>
        </w:rPr>
        <w:t>°</w:t>
      </w:r>
      <w:r w:rsidR="00DB776A">
        <w:t xml:space="preserve">C with heat tapes for </w:t>
      </w:r>
      <w:r w:rsidR="00EE4702">
        <w:t xml:space="preserve">24 </w:t>
      </w:r>
      <w:r w:rsidR="00DB776A">
        <w:t xml:space="preserve">hours to clean the line before use. </w:t>
      </w:r>
    </w:p>
    <w:p w:rsidR="00EE4702" w:rsidRDefault="00A56A34" w:rsidP="007A51DA">
      <w:pPr>
        <w:pStyle w:val="ListNumber"/>
        <w:numPr>
          <w:ilvl w:val="0"/>
          <w:numId w:val="0"/>
        </w:numPr>
      </w:pPr>
      <w:r>
        <w:t xml:space="preserve">Rough down the system, turn on the ion pump then leak check the system using the RGA, which is behind a valve to protect during sputtering process. </w:t>
      </w:r>
    </w:p>
    <w:p w:rsidR="00A56A34" w:rsidRDefault="00EE4702" w:rsidP="007A51DA">
      <w:pPr>
        <w:pStyle w:val="ListNumber"/>
        <w:numPr>
          <w:ilvl w:val="0"/>
          <w:numId w:val="0"/>
        </w:numPr>
      </w:pPr>
      <w:r>
        <w:t>Close valve to alcatel dry pump, then b</w:t>
      </w:r>
      <w:r w:rsidR="00A56A34">
        <w:t>ake the beampipe</w:t>
      </w:r>
      <w:r w:rsidR="00DB776A">
        <w:t xml:space="preserve"> with heat tapes to 250</w:t>
      </w:r>
      <w:r w:rsidR="000E1CB3">
        <w:rPr>
          <w:rFonts w:cs="Arial"/>
        </w:rPr>
        <w:t>°</w:t>
      </w:r>
      <w:r w:rsidR="00DB776A">
        <w:t xml:space="preserve">C for at least 24 hours before beginning sputtering process: Reduce temperature </w:t>
      </w:r>
      <w:r>
        <w:t>to ~</w:t>
      </w:r>
      <w:r w:rsidR="00DB776A">
        <w:t>150</w:t>
      </w:r>
      <w:r w:rsidR="000E1CB3">
        <w:rPr>
          <w:rFonts w:cs="Arial"/>
        </w:rPr>
        <w:t>°</w:t>
      </w:r>
      <w:r w:rsidR="00DB776A">
        <w:t xml:space="preserve">C and leave there during sputtering. </w:t>
      </w:r>
    </w:p>
    <w:p w:rsidR="00A56A34" w:rsidRDefault="00A56A34" w:rsidP="007A51DA">
      <w:pPr>
        <w:pStyle w:val="ListNumber"/>
        <w:numPr>
          <w:ilvl w:val="0"/>
          <w:numId w:val="0"/>
        </w:numPr>
      </w:pPr>
      <w:r>
        <w:t xml:space="preserve">Fill the system with sputtering gas to a pressure of 50 mTorr, pump back out the refill to desired pressure.  Use both inlet and pumping valves to regulate the pressure.  </w:t>
      </w:r>
    </w:p>
    <w:p w:rsidR="00DB776A" w:rsidRDefault="00DB776A" w:rsidP="007A51DA">
      <w:pPr>
        <w:pStyle w:val="ListNumber"/>
        <w:numPr>
          <w:ilvl w:val="0"/>
          <w:numId w:val="0"/>
        </w:numPr>
      </w:pPr>
      <w:r>
        <w:t xml:space="preserve">Connect </w:t>
      </w:r>
      <w:r w:rsidR="001B0A8B">
        <w:t xml:space="preserve">a high voltage cable to the </w:t>
      </w:r>
      <w:r>
        <w:t xml:space="preserve">high voltage </w:t>
      </w:r>
      <w:r w:rsidR="00674388">
        <w:t xml:space="preserve">vacuum </w:t>
      </w:r>
      <w:r>
        <w:t>feedthrough</w:t>
      </w:r>
      <w:r w:rsidR="001B0A8B">
        <w:t xml:space="preserve">, then connect the cable to the high voltage power supply. </w:t>
      </w:r>
      <w:r w:rsidR="00A56A34">
        <w:t xml:space="preserve"> Make sure that the sputtering system is grounded to the table and that the table is connected to the room ground bus bar. </w:t>
      </w:r>
    </w:p>
    <w:p w:rsidR="00674388" w:rsidRDefault="00674388" w:rsidP="007A51DA">
      <w:pPr>
        <w:pStyle w:val="ListNumber"/>
        <w:numPr>
          <w:ilvl w:val="0"/>
          <w:numId w:val="0"/>
        </w:numPr>
      </w:pPr>
      <w:r>
        <w:t>Maintain temperature ~150</w:t>
      </w:r>
      <w:r>
        <w:rPr>
          <w:rFonts w:cs="Arial"/>
        </w:rPr>
        <w:t>°</w:t>
      </w:r>
      <w:r>
        <w:t>C for cleaning and sputter coating NEG material (discharge will additionally warm system)</w:t>
      </w:r>
    </w:p>
    <w:p w:rsidR="00674388" w:rsidRDefault="00674388" w:rsidP="007A51DA">
      <w:pPr>
        <w:pStyle w:val="ListNumber"/>
        <w:numPr>
          <w:ilvl w:val="0"/>
          <w:numId w:val="0"/>
        </w:numPr>
      </w:pPr>
      <w:r>
        <w:t>Sputter clean first for approximately 30 minutes using positive polarity on the wire</w:t>
      </w:r>
      <w:r w:rsidR="00EE4702">
        <w:t xml:space="preserve"> and pressure/voltage settings shown in Table 1</w:t>
      </w:r>
      <w:r>
        <w:t xml:space="preserve"> – this will further clean the surface and ensure good adhesion of the NEG material</w:t>
      </w:r>
      <w:r w:rsidR="00EE4702">
        <w:t xml:space="preserve">.   When the process is working, you’ll see a glow discharge with the color characteristic of the sputtering gas </w:t>
      </w:r>
    </w:p>
    <w:tbl>
      <w:tblPr>
        <w:tblStyle w:val="TableGrid"/>
        <w:tblW w:w="0" w:type="auto"/>
        <w:tblLook w:val="04A0"/>
      </w:tblPr>
      <w:tblGrid>
        <w:gridCol w:w="1771"/>
        <w:gridCol w:w="1771"/>
        <w:gridCol w:w="1771"/>
        <w:gridCol w:w="1772"/>
      </w:tblGrid>
      <w:tr w:rsidR="00EE4702" w:rsidTr="00674388">
        <w:tc>
          <w:tcPr>
            <w:tcW w:w="1771" w:type="dxa"/>
          </w:tcPr>
          <w:p w:rsidR="00EE4702" w:rsidRDefault="00EE4702" w:rsidP="00EE4702">
            <w:pPr>
              <w:pStyle w:val="ListNumber"/>
              <w:numPr>
                <w:ilvl w:val="0"/>
                <w:numId w:val="0"/>
              </w:numPr>
              <w:spacing w:after="0"/>
              <w:jc w:val="center"/>
            </w:pPr>
          </w:p>
        </w:tc>
        <w:tc>
          <w:tcPr>
            <w:tcW w:w="1771" w:type="dxa"/>
          </w:tcPr>
          <w:p w:rsidR="00EE4702" w:rsidRDefault="00EE4702" w:rsidP="00EE4702">
            <w:pPr>
              <w:pStyle w:val="ListNumber"/>
              <w:numPr>
                <w:ilvl w:val="0"/>
                <w:numId w:val="0"/>
              </w:numPr>
              <w:spacing w:after="0"/>
              <w:jc w:val="center"/>
            </w:pPr>
            <w:r>
              <w:t>Pressure (mTorr)</w:t>
            </w:r>
          </w:p>
        </w:tc>
        <w:tc>
          <w:tcPr>
            <w:tcW w:w="1771" w:type="dxa"/>
          </w:tcPr>
          <w:p w:rsidR="00EE4702" w:rsidRDefault="00EE4702" w:rsidP="00EE4702">
            <w:pPr>
              <w:pStyle w:val="ListNumber"/>
              <w:numPr>
                <w:ilvl w:val="0"/>
                <w:numId w:val="0"/>
              </w:numPr>
              <w:spacing w:after="0"/>
              <w:jc w:val="center"/>
            </w:pPr>
            <w:r>
              <w:t>Voltage (kV)</w:t>
            </w:r>
          </w:p>
        </w:tc>
        <w:tc>
          <w:tcPr>
            <w:tcW w:w="1772" w:type="dxa"/>
          </w:tcPr>
          <w:p w:rsidR="00EE4702" w:rsidRDefault="00EE4702" w:rsidP="00EE4702">
            <w:pPr>
              <w:pStyle w:val="ListNumber"/>
              <w:numPr>
                <w:ilvl w:val="0"/>
                <w:numId w:val="0"/>
              </w:numPr>
              <w:spacing w:after="0"/>
              <w:jc w:val="center"/>
            </w:pPr>
            <w:r>
              <w:t>Current (mA)</w:t>
            </w:r>
          </w:p>
        </w:tc>
      </w:tr>
      <w:tr w:rsidR="00EE4702" w:rsidTr="00674388">
        <w:tc>
          <w:tcPr>
            <w:tcW w:w="1771" w:type="dxa"/>
          </w:tcPr>
          <w:p w:rsidR="00EE4702" w:rsidRDefault="00EE4702" w:rsidP="00EE4702">
            <w:pPr>
              <w:pStyle w:val="ListNumber"/>
              <w:numPr>
                <w:ilvl w:val="0"/>
                <w:numId w:val="0"/>
              </w:numPr>
              <w:spacing w:after="0"/>
              <w:jc w:val="center"/>
            </w:pPr>
            <w:r>
              <w:t>Beampipe: Ar gas</w:t>
            </w:r>
          </w:p>
        </w:tc>
        <w:tc>
          <w:tcPr>
            <w:tcW w:w="1771" w:type="dxa"/>
          </w:tcPr>
          <w:p w:rsidR="00EE4702" w:rsidRDefault="00EE4702" w:rsidP="00EE4702">
            <w:pPr>
              <w:pStyle w:val="ListNumber"/>
              <w:numPr>
                <w:ilvl w:val="0"/>
                <w:numId w:val="0"/>
              </w:numPr>
              <w:spacing w:after="0"/>
              <w:jc w:val="center"/>
            </w:pPr>
            <w:r>
              <w:t>50-80</w:t>
            </w:r>
          </w:p>
        </w:tc>
        <w:tc>
          <w:tcPr>
            <w:tcW w:w="1771" w:type="dxa"/>
          </w:tcPr>
          <w:p w:rsidR="00EE4702" w:rsidRDefault="00EE4702" w:rsidP="00EE4702">
            <w:pPr>
              <w:pStyle w:val="ListNumber"/>
              <w:numPr>
                <w:ilvl w:val="0"/>
                <w:numId w:val="0"/>
              </w:numPr>
              <w:spacing w:after="0"/>
              <w:jc w:val="center"/>
            </w:pPr>
            <w:r>
              <w:t>2.1</w:t>
            </w:r>
          </w:p>
        </w:tc>
        <w:tc>
          <w:tcPr>
            <w:tcW w:w="1772" w:type="dxa"/>
          </w:tcPr>
          <w:p w:rsidR="00EE4702" w:rsidRDefault="00EE4702" w:rsidP="00EE4702">
            <w:pPr>
              <w:pStyle w:val="ListNumber"/>
              <w:numPr>
                <w:ilvl w:val="0"/>
                <w:numId w:val="0"/>
              </w:numPr>
              <w:spacing w:after="0"/>
              <w:jc w:val="center"/>
            </w:pPr>
            <w:r>
              <w:t>65</w:t>
            </w:r>
          </w:p>
        </w:tc>
      </w:tr>
      <w:tr w:rsidR="00EE4702" w:rsidTr="00674388">
        <w:tc>
          <w:tcPr>
            <w:tcW w:w="1771" w:type="dxa"/>
          </w:tcPr>
          <w:p w:rsidR="00EE4702" w:rsidRDefault="00EE4702" w:rsidP="00EE4702">
            <w:pPr>
              <w:pStyle w:val="ListNumber"/>
              <w:numPr>
                <w:ilvl w:val="0"/>
                <w:numId w:val="0"/>
              </w:numPr>
              <w:spacing w:after="0"/>
              <w:jc w:val="center"/>
            </w:pPr>
            <w:r>
              <w:t>Beampipe: Kr gas</w:t>
            </w:r>
          </w:p>
        </w:tc>
        <w:tc>
          <w:tcPr>
            <w:tcW w:w="1771" w:type="dxa"/>
          </w:tcPr>
          <w:p w:rsidR="00EE4702" w:rsidRDefault="00EE4702" w:rsidP="00EE4702">
            <w:pPr>
              <w:pStyle w:val="ListNumber"/>
              <w:numPr>
                <w:ilvl w:val="0"/>
                <w:numId w:val="0"/>
              </w:numPr>
              <w:spacing w:after="0"/>
              <w:jc w:val="center"/>
            </w:pPr>
            <w:r>
              <w:t>40-70</w:t>
            </w:r>
          </w:p>
        </w:tc>
        <w:tc>
          <w:tcPr>
            <w:tcW w:w="1771" w:type="dxa"/>
          </w:tcPr>
          <w:p w:rsidR="00EE4702" w:rsidRDefault="00EE4702" w:rsidP="00EE4702">
            <w:pPr>
              <w:pStyle w:val="ListNumber"/>
              <w:numPr>
                <w:ilvl w:val="0"/>
                <w:numId w:val="0"/>
              </w:numPr>
              <w:spacing w:after="0"/>
              <w:jc w:val="center"/>
            </w:pPr>
            <w:r>
              <w:t>2.5</w:t>
            </w:r>
          </w:p>
        </w:tc>
        <w:tc>
          <w:tcPr>
            <w:tcW w:w="1772" w:type="dxa"/>
          </w:tcPr>
          <w:p w:rsidR="00EE4702" w:rsidRDefault="00EE4702" w:rsidP="00EE4702">
            <w:pPr>
              <w:pStyle w:val="ListNumber"/>
              <w:numPr>
                <w:ilvl w:val="0"/>
                <w:numId w:val="0"/>
              </w:numPr>
              <w:spacing w:after="0"/>
              <w:jc w:val="center"/>
            </w:pPr>
            <w:r>
              <w:t>60</w:t>
            </w:r>
          </w:p>
        </w:tc>
      </w:tr>
      <w:tr w:rsidR="00EE4702" w:rsidTr="00674388">
        <w:tc>
          <w:tcPr>
            <w:tcW w:w="1771" w:type="dxa"/>
          </w:tcPr>
          <w:p w:rsidR="00EE4702" w:rsidRDefault="00EE4702" w:rsidP="00EE4702">
            <w:pPr>
              <w:pStyle w:val="ListNumber"/>
              <w:numPr>
                <w:ilvl w:val="0"/>
                <w:numId w:val="0"/>
              </w:numPr>
              <w:spacing w:after="0"/>
              <w:jc w:val="center"/>
            </w:pPr>
            <w:r>
              <w:t>Chamber: Ar gas</w:t>
            </w:r>
          </w:p>
        </w:tc>
        <w:tc>
          <w:tcPr>
            <w:tcW w:w="1771" w:type="dxa"/>
          </w:tcPr>
          <w:p w:rsidR="00EE4702" w:rsidRDefault="00EE4702" w:rsidP="00EE4702">
            <w:pPr>
              <w:pStyle w:val="ListNumber"/>
              <w:numPr>
                <w:ilvl w:val="0"/>
                <w:numId w:val="0"/>
              </w:numPr>
              <w:spacing w:after="0"/>
              <w:jc w:val="center"/>
            </w:pPr>
            <w:r>
              <w:t>80-90</w:t>
            </w:r>
          </w:p>
        </w:tc>
        <w:tc>
          <w:tcPr>
            <w:tcW w:w="1771" w:type="dxa"/>
          </w:tcPr>
          <w:p w:rsidR="00EE4702" w:rsidRDefault="00EE4702" w:rsidP="00EE4702">
            <w:pPr>
              <w:pStyle w:val="ListNumber"/>
              <w:numPr>
                <w:ilvl w:val="0"/>
                <w:numId w:val="0"/>
              </w:numPr>
              <w:spacing w:after="0"/>
              <w:jc w:val="center"/>
            </w:pPr>
            <w:r>
              <w:t>0.5-0.7</w:t>
            </w:r>
          </w:p>
        </w:tc>
        <w:tc>
          <w:tcPr>
            <w:tcW w:w="1772" w:type="dxa"/>
          </w:tcPr>
          <w:p w:rsidR="00EE4702" w:rsidRDefault="00EE4702" w:rsidP="00EE4702">
            <w:pPr>
              <w:pStyle w:val="ListNumber"/>
              <w:numPr>
                <w:ilvl w:val="0"/>
                <w:numId w:val="0"/>
              </w:numPr>
              <w:spacing w:after="0"/>
              <w:jc w:val="center"/>
            </w:pPr>
            <w:r>
              <w:t>160</w:t>
            </w:r>
          </w:p>
        </w:tc>
      </w:tr>
    </w:tbl>
    <w:p w:rsidR="00674388" w:rsidRDefault="00674388" w:rsidP="00EE4702">
      <w:pPr>
        <w:pStyle w:val="ListNumber"/>
        <w:numPr>
          <w:ilvl w:val="0"/>
          <w:numId w:val="0"/>
        </w:numPr>
        <w:spacing w:after="0"/>
      </w:pPr>
    </w:p>
    <w:p w:rsidR="00EE4702" w:rsidRDefault="00EE4702" w:rsidP="00EE4702">
      <w:pPr>
        <w:pStyle w:val="ListNumber"/>
        <w:numPr>
          <w:ilvl w:val="0"/>
          <w:numId w:val="0"/>
        </w:numPr>
        <w:spacing w:after="0"/>
      </w:pPr>
      <w:r>
        <w:t xml:space="preserve">Reverse polarity to have negative bias on the wire during coating.  Use current/voltage settings in Table 1.  Adjust current/voltage to get a nice discharge, adjust the interlock range so that there is a nice discharge at both ends of the pressure cutoff range.  Stabilize pressure using the inlet and pumping valves, and coat the beampipe. </w:t>
      </w:r>
    </w:p>
    <w:p w:rsidR="000E1CB3" w:rsidRDefault="000E1CB3" w:rsidP="00A56A34">
      <w:pPr>
        <w:pStyle w:val="ListNumber"/>
        <w:numPr>
          <w:ilvl w:val="0"/>
          <w:numId w:val="0"/>
        </w:numPr>
        <w:spacing w:after="0"/>
      </w:pPr>
    </w:p>
    <w:p w:rsidR="00A56A34" w:rsidRDefault="00A56A34" w:rsidP="000E1CB3">
      <w:pPr>
        <w:pStyle w:val="ListNumber"/>
        <w:numPr>
          <w:ilvl w:val="0"/>
          <w:numId w:val="0"/>
        </w:numPr>
        <w:spacing w:after="0"/>
      </w:pPr>
      <w:r>
        <w:t>Coat for 50-100</w:t>
      </w:r>
      <w:r w:rsidR="00087AE6">
        <w:t xml:space="preserve"> hours maintaining pressure within range.  </w:t>
      </w:r>
      <w:r>
        <w:t>Coating thickness will vary depending on wire thickness, pressure, temperature. Set pressure interlock to turn off discharge when pressure varies out of good range: manually adjust the pressure inlet or pumping to stab</w:t>
      </w:r>
      <w:r w:rsidR="00E83155">
        <w:t xml:space="preserve">ilize in the good range, and the high voltage supply will come back on. </w:t>
      </w:r>
    </w:p>
    <w:p w:rsidR="00A56A34" w:rsidRDefault="00A56A34" w:rsidP="00A56A34">
      <w:pPr>
        <w:pStyle w:val="ListNumber"/>
        <w:numPr>
          <w:ilvl w:val="0"/>
          <w:numId w:val="0"/>
        </w:numPr>
        <w:ind w:firstLine="720"/>
      </w:pPr>
      <w:r>
        <w:tab/>
      </w:r>
    </w:p>
    <w:p w:rsidR="003B6F29" w:rsidRDefault="00AB7B67">
      <w:pPr>
        <w:pStyle w:val="Title"/>
      </w:pPr>
      <w:r>
        <w:t>Conclusion</w:t>
      </w:r>
    </w:p>
    <w:p w:rsidR="003B6F29" w:rsidRDefault="00EB57AA" w:rsidP="00EB57AA">
      <w:pPr>
        <w:pStyle w:val="ListNumber"/>
        <w:numPr>
          <w:ilvl w:val="0"/>
          <w:numId w:val="0"/>
        </w:numPr>
        <w:ind w:left="360" w:hanging="360"/>
      </w:pPr>
      <w:r>
        <w:t xml:space="preserve">These homemade NEG </w:t>
      </w:r>
      <w:r w:rsidR="00E83155">
        <w:t>coatings have pump speeds that have been measured 0.02 L/s/cm^2 for hydrogen, well below the quoted speed provided by SAES, but the system setup is relatively simple and the only expense is the cost of the wires</w:t>
      </w:r>
      <w:r w:rsidR="00FD14EC">
        <w:t>, gas and labor</w:t>
      </w:r>
      <w:r w:rsidR="00E83155">
        <w:t xml:space="preserve">.  Automation of the gas inlet system would eliminate the pressure drift overnight and would be a valuable time-saving upgrade to the system. </w:t>
      </w:r>
    </w:p>
    <w:p w:rsidR="00EB57AA" w:rsidRDefault="00EB57AA" w:rsidP="00EB57AA">
      <w:pPr>
        <w:pStyle w:val="ListNumber"/>
        <w:numPr>
          <w:ilvl w:val="0"/>
          <w:numId w:val="0"/>
        </w:numPr>
        <w:ind w:firstLine="720"/>
      </w:pPr>
    </w:p>
    <w:p w:rsidR="00EB57AA" w:rsidRDefault="00EB57AA" w:rsidP="00EB57AA">
      <w:pPr>
        <w:pStyle w:val="Title"/>
      </w:pPr>
      <w:r>
        <w:t>References</w:t>
      </w:r>
    </w:p>
    <w:sectPr w:rsidR="00EB57AA" w:rsidSect="003B6F29">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800" w:bottom="1440" w:left="1800" w:header="965"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81" w:rsidRDefault="00541E81">
      <w:r>
        <w:separator/>
      </w:r>
    </w:p>
  </w:endnote>
  <w:endnote w:type="continuationSeparator" w:id="0">
    <w:p w:rsidR="00541E81" w:rsidRDefault="00541E81">
      <w:r>
        <w:continuationSeparator/>
      </w:r>
    </w:p>
  </w:endnote>
  <w:endnote w:id="1">
    <w:p w:rsidR="00EB57AA" w:rsidRDefault="00FD14EC" w:rsidP="00EB57AA">
      <w:pPr>
        <w:pStyle w:val="EndnoteText"/>
        <w:ind w:left="0"/>
      </w:pPr>
      <w:r>
        <w:t>[</w:t>
      </w:r>
      <w:r w:rsidR="00EB57AA" w:rsidRPr="00FD14EC">
        <w:rPr>
          <w:rStyle w:val="EndnoteReference"/>
          <w:vertAlign w:val="baseline"/>
        </w:rPr>
        <w:endnoteRef/>
      </w:r>
      <w:r>
        <w:t>]</w:t>
      </w:r>
      <w:r w:rsidR="00EB57AA" w:rsidRPr="00FD14EC">
        <w:t xml:space="preserve"> </w:t>
      </w:r>
      <w:r w:rsidR="002267EE">
        <w:t xml:space="preserve">C. Benvenuti et al., JVSTA 19 (2001) 2925.  </w:t>
      </w:r>
      <w:r w:rsidR="00985D10">
        <w:t xml:space="preserve">C. Benvenuti, P. Chiggiato, F. Cicoira and V. Ruzinov </w:t>
      </w:r>
      <w:r w:rsidR="00985D10">
        <w:rPr>
          <w:i/>
          <w:iCs/>
        </w:rPr>
        <w:t>Vacuum</w:t>
      </w:r>
      <w:r w:rsidR="00985D10">
        <w:t xml:space="preserve"> </w:t>
      </w:r>
      <w:r w:rsidR="00985D10">
        <w:rPr>
          <w:rStyle w:val="Strong"/>
        </w:rPr>
        <w:t>50</w:t>
      </w:r>
      <w:r w:rsidR="00985D10">
        <w:t xml:space="preserve"> (1998), p. 57., C. Benvenuti, P. Chiggiato, F. Cicoira and V. Ruzinov </w:t>
      </w:r>
      <w:r w:rsidR="00985D10">
        <w:rPr>
          <w:i/>
          <w:iCs/>
        </w:rPr>
        <w:t>Vacuum</w:t>
      </w:r>
      <w:r w:rsidR="00985D10">
        <w:t xml:space="preserve"> </w:t>
      </w:r>
      <w:r w:rsidR="00985D10">
        <w:rPr>
          <w:rStyle w:val="Strong"/>
        </w:rPr>
        <w:t>50</w:t>
      </w:r>
      <w:r w:rsidR="00985D10">
        <w:t xml:space="preserve"> (1998), p. 57., A. Prodomides, C. Scheuerlein and M. Taborelli </w:t>
      </w:r>
      <w:r w:rsidR="00985D10">
        <w:rPr>
          <w:i/>
          <w:iCs/>
        </w:rPr>
        <w:t>Vacuum</w:t>
      </w:r>
      <w:r w:rsidR="00985D10">
        <w:t xml:space="preserve"> </w:t>
      </w:r>
      <w:r w:rsidR="00985D10">
        <w:rPr>
          <w:rStyle w:val="Strong"/>
        </w:rPr>
        <w:t>60</w:t>
      </w:r>
      <w:r w:rsidR="00985D10">
        <w:t xml:space="preserve"> (2001), p. 35.</w:t>
      </w:r>
    </w:p>
    <w:p w:rsidR="00EB57AA" w:rsidRDefault="00EB57AA" w:rsidP="00EB57AA">
      <w:pPr>
        <w:pStyle w:val="EndnoteText"/>
        <w:ind w:left="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3B6F29">
    <w:pPr>
      <w:pStyle w:val="Footer"/>
      <w:framePr w:wrap="none" w:vAnchor="text" w:hAnchor="margin" w:xAlign="center" w:y="1"/>
      <w:rPr>
        <w:rStyle w:val="PageNumber"/>
      </w:rPr>
    </w:pPr>
    <w:r>
      <w:rPr>
        <w:rStyle w:val="PageNumber"/>
      </w:rPr>
      <w:fldChar w:fldCharType="begin"/>
    </w:r>
    <w:r w:rsidR="00AB7B67">
      <w:rPr>
        <w:rStyle w:val="PageNumber"/>
      </w:rPr>
      <w:instrText xml:space="preserve">PAGE  </w:instrText>
    </w:r>
    <w:r>
      <w:rPr>
        <w:rStyle w:val="PageNumber"/>
      </w:rPr>
      <w:fldChar w:fldCharType="separate"/>
    </w:r>
    <w:r w:rsidR="00AB7B67">
      <w:rPr>
        <w:rStyle w:val="PageNumber"/>
        <w:noProof/>
      </w:rPr>
      <w:t>2</w:t>
    </w:r>
    <w:r>
      <w:rPr>
        <w:rStyle w:val="PageNumber"/>
      </w:rPr>
      <w:fldChar w:fldCharType="end"/>
    </w:r>
  </w:p>
  <w:p w:rsidR="003B6F29" w:rsidRDefault="003B6F29">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3B6F29">
    <w:pPr>
      <w:pStyle w:val="Footer"/>
      <w:framePr w:wrap="none" w:vAnchor="text" w:hAnchor="margin" w:xAlign="center" w:y="1"/>
      <w:rPr>
        <w:rStyle w:val="PageNumber"/>
      </w:rPr>
    </w:pPr>
    <w:r>
      <w:rPr>
        <w:rStyle w:val="PageNumber"/>
      </w:rPr>
      <w:fldChar w:fldCharType="begin"/>
    </w:r>
    <w:r w:rsidR="00AB7B67">
      <w:rPr>
        <w:rStyle w:val="PageNumber"/>
      </w:rPr>
      <w:instrText xml:space="preserve">PAGE  </w:instrText>
    </w:r>
    <w:r>
      <w:rPr>
        <w:rStyle w:val="PageNumber"/>
      </w:rPr>
      <w:fldChar w:fldCharType="separate"/>
    </w:r>
    <w:r w:rsidR="00AB7B67">
      <w:rPr>
        <w:rStyle w:val="PageNumber"/>
        <w:noProof/>
      </w:rPr>
      <w:t>3</w:t>
    </w:r>
    <w:r>
      <w:rPr>
        <w:rStyle w:val="PageNumber"/>
      </w:rPr>
      <w:fldChar w:fldCharType="end"/>
    </w:r>
  </w:p>
  <w:p w:rsidR="003B6F29" w:rsidRDefault="003B6F29">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AB7B67">
    <w:pPr>
      <w:pStyle w:val="Footer"/>
      <w:pBdr>
        <w:top w:val="single" w:sz="6" w:space="1" w:color="auto"/>
      </w:pBdr>
      <w:spacing w:after="600"/>
      <w:ind w:left="-840" w:right="-840"/>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3B6F29">
    <w:pPr>
      <w:pStyle w:val="Footer"/>
      <w:framePr w:wrap="none" w:vAnchor="text" w:hAnchor="margin" w:xAlign="center" w:y="1"/>
      <w:rPr>
        <w:rStyle w:val="PageNumber"/>
      </w:rPr>
    </w:pPr>
    <w:r>
      <w:rPr>
        <w:rStyle w:val="PageNumber"/>
      </w:rPr>
      <w:fldChar w:fldCharType="begin"/>
    </w:r>
    <w:r w:rsidR="00AB7B67">
      <w:rPr>
        <w:rStyle w:val="PageNumber"/>
      </w:rPr>
      <w:instrText xml:space="preserve">PAGE  </w:instrText>
    </w:r>
    <w:r>
      <w:rPr>
        <w:rStyle w:val="PageNumber"/>
      </w:rPr>
      <w:fldChar w:fldCharType="separate"/>
    </w:r>
    <w:r w:rsidR="00AB7B67">
      <w:rPr>
        <w:rStyle w:val="PageNumber"/>
        <w:noProof/>
      </w:rPr>
      <w:t>2</w:t>
    </w:r>
    <w:r>
      <w:rPr>
        <w:rStyle w:val="PageNumber"/>
      </w:rPr>
      <w:fldChar w:fldCharType="end"/>
    </w:r>
  </w:p>
  <w:p w:rsidR="003B6F29" w:rsidRDefault="003B6F29">
    <w:pPr>
      <w:ind w:left="-108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3B6F29">
    <w:pPr>
      <w:pStyle w:val="Footer"/>
      <w:framePr w:wrap="none" w:vAnchor="text" w:hAnchor="margin" w:xAlign="center" w:y="1"/>
      <w:rPr>
        <w:rStyle w:val="PageNumber"/>
      </w:rPr>
    </w:pPr>
    <w:r>
      <w:rPr>
        <w:rStyle w:val="PageNumber"/>
      </w:rPr>
      <w:fldChar w:fldCharType="begin"/>
    </w:r>
    <w:r w:rsidR="00AB7B67">
      <w:rPr>
        <w:rStyle w:val="PageNumber"/>
      </w:rPr>
      <w:instrText xml:space="preserve">PAGE  </w:instrText>
    </w:r>
    <w:r>
      <w:rPr>
        <w:rStyle w:val="PageNumber"/>
      </w:rPr>
      <w:fldChar w:fldCharType="separate"/>
    </w:r>
    <w:r w:rsidR="006B0B32">
      <w:rPr>
        <w:rStyle w:val="PageNumber"/>
        <w:noProof/>
      </w:rPr>
      <w:t>2</w:t>
    </w:r>
    <w:r>
      <w:rPr>
        <w:rStyle w:val="PageNumber"/>
      </w:rPr>
      <w:fldChar w:fldCharType="end"/>
    </w:r>
  </w:p>
  <w:p w:rsidR="003B6F29" w:rsidRDefault="003B6F29">
    <w:pPr>
      <w:pStyle w:val="Footer"/>
      <w:rPr>
        <w: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AB7B67">
    <w:pPr>
      <w:pStyle w:val="Footer"/>
      <w:pBdr>
        <w:top w:val="single" w:sz="6" w:space="1" w:color="auto"/>
      </w:pBdr>
      <w:spacing w:after="600"/>
      <w:ind w:left="-840" w:right="-84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81" w:rsidRDefault="00541E81">
      <w:r>
        <w:separator/>
      </w:r>
    </w:p>
  </w:footnote>
  <w:footnote w:type="continuationSeparator" w:id="0">
    <w:p w:rsidR="00541E81" w:rsidRDefault="00541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3B6F29">
    <w:pPr>
      <w:pStyle w:val="Header"/>
    </w:pPr>
    <w:r>
      <w:rPr>
        <w:noProof/>
      </w:rPr>
      <w:pict>
        <v:rect id="_x0000_s2049" style="position:absolute;left:0;text-align:left;margin-left:36pt;margin-top:95.1pt;width:540pt;height:24pt;z-index:251657216;mso-position-horizontal-relative:page;mso-position-vertical-relative:page" o:allowincell="f" fillcolor="#e5e5e5" stroked="f" strokecolor="#e5e5e5">
          <w10:wrap anchorx="page" anchory="page"/>
          <w10:anchorlock/>
        </v:rect>
      </w:pict>
    </w:r>
    <w:r>
      <w:rPr>
        <w:noProof/>
      </w:rPr>
      <w:pict>
        <v:rect id="_x0000_s2050" style="position:absolute;left:0;text-align:left;margin-left:145.2pt;margin-top:30pt;width:8.4pt;height:78pt;z-index:251658240;mso-position-horizontal-relative:page;mso-position-vertical-relative:page" o:allowincell="f" filled="f" stroked="f" strokecolor="white" strokeweight="6pt">
          <v:textbox style="mso-next-textbox:#_x0000_s2050" inset="0,0,0,0">
            <w:txbxContent>
              <w:p w:rsidR="003B6F29" w:rsidRDefault="00AB7B67">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3B6F29" w:rsidRDefault="003B6F29"/>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AB7B67">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3B6F2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29" w:rsidRDefault="00AB7B6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A4A7E2"/>
    <w:lvl w:ilvl="0">
      <w:start w:val="1"/>
      <w:numFmt w:val="decimal"/>
      <w:lvlText w:val="%1."/>
      <w:lvlJc w:val="left"/>
      <w:pPr>
        <w:tabs>
          <w:tab w:val="num" w:pos="1800"/>
        </w:tabs>
        <w:ind w:left="1800" w:hanging="360"/>
      </w:pPr>
    </w:lvl>
  </w:abstractNum>
  <w:abstractNum w:abstractNumId="1">
    <w:nsid w:val="FFFFFF7D"/>
    <w:multiLevelType w:val="singleLevel"/>
    <w:tmpl w:val="415259EC"/>
    <w:lvl w:ilvl="0">
      <w:start w:val="1"/>
      <w:numFmt w:val="decimal"/>
      <w:lvlText w:val="%1."/>
      <w:lvlJc w:val="left"/>
      <w:pPr>
        <w:tabs>
          <w:tab w:val="num" w:pos="1440"/>
        </w:tabs>
        <w:ind w:left="1440" w:hanging="360"/>
      </w:pPr>
    </w:lvl>
  </w:abstractNum>
  <w:abstractNum w:abstractNumId="2">
    <w:nsid w:val="FFFFFF7E"/>
    <w:multiLevelType w:val="singleLevel"/>
    <w:tmpl w:val="7FDA2D92"/>
    <w:lvl w:ilvl="0">
      <w:start w:val="1"/>
      <w:numFmt w:val="decimal"/>
      <w:lvlText w:val="%1."/>
      <w:lvlJc w:val="left"/>
      <w:pPr>
        <w:tabs>
          <w:tab w:val="num" w:pos="1080"/>
        </w:tabs>
        <w:ind w:left="1080" w:hanging="360"/>
      </w:pPr>
    </w:lvl>
  </w:abstractNum>
  <w:abstractNum w:abstractNumId="3">
    <w:nsid w:val="FFFFFF7F"/>
    <w:multiLevelType w:val="singleLevel"/>
    <w:tmpl w:val="8A7880CE"/>
    <w:lvl w:ilvl="0">
      <w:start w:val="1"/>
      <w:numFmt w:val="decimal"/>
      <w:lvlText w:val="%1."/>
      <w:lvlJc w:val="left"/>
      <w:pPr>
        <w:tabs>
          <w:tab w:val="num" w:pos="720"/>
        </w:tabs>
        <w:ind w:left="720" w:hanging="360"/>
      </w:pPr>
    </w:lvl>
  </w:abstractNum>
  <w:abstractNum w:abstractNumId="4">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D4F3B0"/>
    <w:lvl w:ilvl="0">
      <w:start w:val="1"/>
      <w:numFmt w:val="decimal"/>
      <w:lvlText w:val="%1."/>
      <w:lvlJc w:val="left"/>
      <w:pPr>
        <w:tabs>
          <w:tab w:val="num" w:pos="360"/>
        </w:tabs>
        <w:ind w:left="360" w:hanging="360"/>
      </w:pPr>
    </w:lvl>
  </w:abstractNum>
  <w:abstractNum w:abstractNumId="9">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698C5B2"/>
    <w:lvl w:ilvl="0">
      <w:numFmt w:val="decimal"/>
      <w:pStyle w:val="Caption"/>
      <w:lvlText w:val="*"/>
      <w:lvlJc w:val="left"/>
    </w:lvl>
  </w:abstractNum>
  <w:abstractNum w:abstractNumId="11">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3">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nsid w:val="4B4F6634"/>
    <w:multiLevelType w:val="hybridMultilevel"/>
    <w:tmpl w:val="3D846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6">
    <w:nsid w:val="5CBE216E"/>
    <w:multiLevelType w:val="singleLevel"/>
    <w:tmpl w:val="6DCCA5CE"/>
    <w:lvl w:ilvl="0">
      <w:start w:val="1"/>
      <w:numFmt w:val="none"/>
      <w:lvlText w:val=""/>
      <w:legacy w:legacy="1" w:legacySpace="0" w:legacyIndent="0"/>
      <w:lvlJc w:val="left"/>
    </w:lvl>
  </w:abstractNum>
  <w:abstractNum w:abstractNumId="17">
    <w:nsid w:val="72DA72D0"/>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2"/>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16"/>
  </w:num>
  <w:num w:numId="18">
    <w:abstractNumId w:val="11"/>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15"/>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abstractNumId w:val="15"/>
  </w:num>
  <w:num w:numId="24">
    <w:abstractNumId w:val="15"/>
    <w:lvlOverride w:ilvl="0">
      <w:startOverride w:val="1"/>
    </w:lvlOverride>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rsids>
    <w:rsidRoot w:val="007A51DA"/>
    <w:rsid w:val="00087AE6"/>
    <w:rsid w:val="000E1CB3"/>
    <w:rsid w:val="000E27EC"/>
    <w:rsid w:val="00197279"/>
    <w:rsid w:val="001B0A8B"/>
    <w:rsid w:val="002267EE"/>
    <w:rsid w:val="003B6F29"/>
    <w:rsid w:val="00541E81"/>
    <w:rsid w:val="005A3219"/>
    <w:rsid w:val="006370B5"/>
    <w:rsid w:val="00674388"/>
    <w:rsid w:val="006A4739"/>
    <w:rsid w:val="006B0B32"/>
    <w:rsid w:val="007A3048"/>
    <w:rsid w:val="007A51DA"/>
    <w:rsid w:val="00985D10"/>
    <w:rsid w:val="00A56A34"/>
    <w:rsid w:val="00AB7B67"/>
    <w:rsid w:val="00DB776A"/>
    <w:rsid w:val="00E83155"/>
    <w:rsid w:val="00EB57AA"/>
    <w:rsid w:val="00EE4702"/>
    <w:rsid w:val="00FC77C2"/>
    <w:rsid w:val="00FD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29"/>
    <w:pPr>
      <w:ind w:left="1080"/>
    </w:pPr>
    <w:rPr>
      <w:rFonts w:ascii="Arial" w:hAnsi="Arial"/>
      <w:spacing w:val="-5"/>
    </w:rPr>
  </w:style>
  <w:style w:type="paragraph" w:styleId="Heading1">
    <w:name w:val="heading 1"/>
    <w:basedOn w:val="HeadingBase"/>
    <w:next w:val="BodyText"/>
    <w:qFormat/>
    <w:rsid w:val="003B6F29"/>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3B6F29"/>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3B6F29"/>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3B6F29"/>
    <w:pPr>
      <w:spacing w:before="0" w:after="240" w:line="240" w:lineRule="atLeast"/>
      <w:outlineLvl w:val="3"/>
    </w:pPr>
  </w:style>
  <w:style w:type="paragraph" w:styleId="Heading5">
    <w:name w:val="heading 5"/>
    <w:basedOn w:val="HeadingBase"/>
    <w:next w:val="BodyText"/>
    <w:qFormat/>
    <w:rsid w:val="003B6F29"/>
    <w:pPr>
      <w:spacing w:before="0" w:line="240" w:lineRule="atLeast"/>
      <w:ind w:left="1440"/>
      <w:outlineLvl w:val="4"/>
    </w:pPr>
    <w:rPr>
      <w:sz w:val="20"/>
    </w:rPr>
  </w:style>
  <w:style w:type="paragraph" w:styleId="Heading6">
    <w:name w:val="heading 6"/>
    <w:basedOn w:val="HeadingBase"/>
    <w:next w:val="BodyText"/>
    <w:qFormat/>
    <w:rsid w:val="003B6F29"/>
    <w:pPr>
      <w:ind w:left="1440"/>
      <w:outlineLvl w:val="5"/>
    </w:pPr>
    <w:rPr>
      <w:i/>
      <w:sz w:val="20"/>
    </w:rPr>
  </w:style>
  <w:style w:type="paragraph" w:styleId="Heading7">
    <w:name w:val="heading 7"/>
    <w:basedOn w:val="HeadingBase"/>
    <w:next w:val="BodyText"/>
    <w:qFormat/>
    <w:rsid w:val="003B6F29"/>
    <w:pPr>
      <w:outlineLvl w:val="6"/>
    </w:pPr>
    <w:rPr>
      <w:sz w:val="20"/>
    </w:rPr>
  </w:style>
  <w:style w:type="paragraph" w:styleId="Heading8">
    <w:name w:val="heading 8"/>
    <w:basedOn w:val="HeadingBase"/>
    <w:next w:val="BodyText"/>
    <w:qFormat/>
    <w:rsid w:val="003B6F29"/>
    <w:pPr>
      <w:outlineLvl w:val="7"/>
    </w:pPr>
    <w:rPr>
      <w:i/>
      <w:sz w:val="18"/>
    </w:rPr>
  </w:style>
  <w:style w:type="paragraph" w:styleId="Heading9">
    <w:name w:val="heading 9"/>
    <w:basedOn w:val="HeadingBase"/>
    <w:next w:val="BodyText"/>
    <w:qFormat/>
    <w:rsid w:val="003B6F29"/>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3B6F2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semiHidden/>
    <w:rsid w:val="003B6F29"/>
    <w:pPr>
      <w:spacing w:after="240" w:line="240" w:lineRule="atLeast"/>
      <w:jc w:val="both"/>
    </w:pPr>
  </w:style>
  <w:style w:type="paragraph" w:styleId="BodyTextIndent">
    <w:name w:val="Body Text Indent"/>
    <w:basedOn w:val="BodyText"/>
    <w:semiHidden/>
    <w:rsid w:val="003B6F29"/>
    <w:pPr>
      <w:ind w:left="1440"/>
    </w:pPr>
  </w:style>
  <w:style w:type="paragraph" w:customStyle="1" w:styleId="BodyTextKeep">
    <w:name w:val="Body Text Keep"/>
    <w:basedOn w:val="BodyText"/>
    <w:rsid w:val="003B6F29"/>
    <w:pPr>
      <w:keepNext/>
    </w:pPr>
  </w:style>
  <w:style w:type="paragraph" w:customStyle="1" w:styleId="Picture">
    <w:name w:val="Picture"/>
    <w:basedOn w:val="Normal"/>
    <w:next w:val="Caption"/>
    <w:rsid w:val="003B6F29"/>
    <w:pPr>
      <w:keepNext/>
    </w:pPr>
  </w:style>
  <w:style w:type="paragraph" w:styleId="Caption">
    <w:name w:val="caption"/>
    <w:basedOn w:val="Picture"/>
    <w:next w:val="BodyText"/>
    <w:qFormat/>
    <w:rsid w:val="003B6F29"/>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3B6F29"/>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rsid w:val="003B6F29"/>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HeadingBase">
    <w:name w:val="Heading Base"/>
    <w:basedOn w:val="Normal"/>
    <w:next w:val="BodyText"/>
    <w:rsid w:val="003B6F29"/>
    <w:pPr>
      <w:keepNext/>
      <w:keepLines/>
      <w:spacing w:before="140" w:line="220" w:lineRule="atLeast"/>
    </w:pPr>
    <w:rPr>
      <w:spacing w:val="-4"/>
      <w:kern w:val="28"/>
      <w:sz w:val="22"/>
    </w:rPr>
  </w:style>
  <w:style w:type="paragraph" w:styleId="Title">
    <w:name w:val="Title"/>
    <w:basedOn w:val="HeadingBase"/>
    <w:next w:val="Subtitle"/>
    <w:qFormat/>
    <w:rsid w:val="003B6F29"/>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3B6F29"/>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3B6F29"/>
  </w:style>
  <w:style w:type="paragraph" w:customStyle="1" w:styleId="CompanyName">
    <w:name w:val="Company Name"/>
    <w:basedOn w:val="Normal"/>
    <w:rsid w:val="003B6F29"/>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ChapterTitle">
    <w:name w:val="Chapter Title"/>
    <w:basedOn w:val="Normal"/>
    <w:rsid w:val="003B6F29"/>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3B6F29"/>
    <w:rPr>
      <w:rFonts w:ascii="Arial" w:hAnsi="Arial"/>
      <w:sz w:val="16"/>
    </w:rPr>
  </w:style>
  <w:style w:type="paragraph" w:customStyle="1" w:styleId="FootnoteBase">
    <w:name w:val="Footnote Base"/>
    <w:basedOn w:val="Normal"/>
    <w:rsid w:val="003B6F29"/>
    <w:pPr>
      <w:keepLines/>
      <w:spacing w:line="200" w:lineRule="atLeast"/>
    </w:pPr>
    <w:rPr>
      <w:sz w:val="16"/>
    </w:rPr>
  </w:style>
  <w:style w:type="paragraph" w:styleId="CommentText">
    <w:name w:val="annotation text"/>
    <w:basedOn w:val="FootnoteBase"/>
    <w:semiHidden/>
    <w:rsid w:val="003B6F29"/>
  </w:style>
  <w:style w:type="paragraph" w:customStyle="1" w:styleId="TableText">
    <w:name w:val="Table Text"/>
    <w:basedOn w:val="Normal"/>
    <w:rsid w:val="003B6F29"/>
    <w:pPr>
      <w:spacing w:before="60"/>
      <w:ind w:left="0"/>
    </w:pPr>
    <w:rPr>
      <w:sz w:val="16"/>
    </w:rPr>
  </w:style>
  <w:style w:type="paragraph" w:customStyle="1" w:styleId="TitleCover">
    <w:name w:val="Title Cover"/>
    <w:basedOn w:val="HeadingBase"/>
    <w:next w:val="Normal"/>
    <w:rsid w:val="003B6F29"/>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3B6F29"/>
  </w:style>
  <w:style w:type="character" w:styleId="Emphasis">
    <w:name w:val="Emphasis"/>
    <w:qFormat/>
    <w:rsid w:val="003B6F29"/>
    <w:rPr>
      <w:rFonts w:ascii="Arial Black" w:hAnsi="Arial Black"/>
      <w:spacing w:val="-4"/>
      <w:sz w:val="18"/>
    </w:rPr>
  </w:style>
  <w:style w:type="character" w:styleId="EndnoteReference">
    <w:name w:val="endnote reference"/>
    <w:semiHidden/>
    <w:rsid w:val="003B6F29"/>
    <w:rPr>
      <w:vertAlign w:val="superscript"/>
    </w:rPr>
  </w:style>
  <w:style w:type="paragraph" w:styleId="EndnoteText">
    <w:name w:val="endnote text"/>
    <w:basedOn w:val="FootnoteBase"/>
    <w:semiHidden/>
    <w:rsid w:val="003B6F29"/>
  </w:style>
  <w:style w:type="paragraph" w:customStyle="1" w:styleId="HeaderBase">
    <w:name w:val="Header Base"/>
    <w:basedOn w:val="Normal"/>
    <w:rsid w:val="003B6F29"/>
    <w:pPr>
      <w:keepLines/>
      <w:tabs>
        <w:tab w:val="center" w:pos="4320"/>
        <w:tab w:val="right" w:pos="8640"/>
      </w:tabs>
      <w:spacing w:line="190" w:lineRule="atLeast"/>
    </w:pPr>
    <w:rPr>
      <w:caps/>
      <w:sz w:val="15"/>
    </w:rPr>
  </w:style>
  <w:style w:type="paragraph" w:styleId="Footer">
    <w:name w:val="footer"/>
    <w:basedOn w:val="HeaderBase"/>
    <w:semiHidden/>
    <w:rsid w:val="003B6F29"/>
  </w:style>
  <w:style w:type="paragraph" w:customStyle="1" w:styleId="FooterEven">
    <w:name w:val="Footer Even"/>
    <w:basedOn w:val="Footer"/>
    <w:rsid w:val="003B6F29"/>
    <w:pPr>
      <w:pBdr>
        <w:top w:val="single" w:sz="6" w:space="2" w:color="auto"/>
      </w:pBdr>
      <w:spacing w:before="600"/>
    </w:pPr>
  </w:style>
  <w:style w:type="paragraph" w:customStyle="1" w:styleId="FooterFirst">
    <w:name w:val="Footer First"/>
    <w:basedOn w:val="Footer"/>
    <w:rsid w:val="003B6F29"/>
    <w:pPr>
      <w:pBdr>
        <w:top w:val="single" w:sz="6" w:space="2" w:color="auto"/>
      </w:pBdr>
      <w:spacing w:before="600"/>
    </w:pPr>
  </w:style>
  <w:style w:type="paragraph" w:customStyle="1" w:styleId="FooterOdd">
    <w:name w:val="Footer Odd"/>
    <w:basedOn w:val="Footer"/>
    <w:rsid w:val="003B6F29"/>
    <w:pPr>
      <w:pBdr>
        <w:top w:val="single" w:sz="6" w:space="2" w:color="auto"/>
      </w:pBdr>
      <w:spacing w:before="600"/>
    </w:pPr>
  </w:style>
  <w:style w:type="character" w:styleId="FootnoteReference">
    <w:name w:val="footnote reference"/>
    <w:semiHidden/>
    <w:rsid w:val="003B6F29"/>
    <w:rPr>
      <w:vertAlign w:val="superscript"/>
    </w:rPr>
  </w:style>
  <w:style w:type="paragraph" w:styleId="FootnoteText">
    <w:name w:val="footnote text"/>
    <w:basedOn w:val="FootnoteBase"/>
    <w:semiHidden/>
    <w:rsid w:val="003B6F29"/>
  </w:style>
  <w:style w:type="paragraph" w:styleId="Header">
    <w:name w:val="header"/>
    <w:basedOn w:val="HeaderBase"/>
    <w:semiHidden/>
    <w:rsid w:val="003B6F29"/>
  </w:style>
  <w:style w:type="paragraph" w:customStyle="1" w:styleId="HeaderEven">
    <w:name w:val="Header Even"/>
    <w:basedOn w:val="Header"/>
    <w:rsid w:val="003B6F29"/>
    <w:pPr>
      <w:pBdr>
        <w:bottom w:val="single" w:sz="6" w:space="1" w:color="auto"/>
      </w:pBdr>
      <w:spacing w:after="600"/>
    </w:pPr>
  </w:style>
  <w:style w:type="paragraph" w:customStyle="1" w:styleId="HeaderFirst">
    <w:name w:val="Header First"/>
    <w:basedOn w:val="Header"/>
    <w:rsid w:val="003B6F29"/>
    <w:pPr>
      <w:pBdr>
        <w:top w:val="single" w:sz="6" w:space="2" w:color="auto"/>
      </w:pBdr>
      <w:jc w:val="right"/>
    </w:pPr>
  </w:style>
  <w:style w:type="paragraph" w:customStyle="1" w:styleId="HeaderOdd">
    <w:name w:val="Header Odd"/>
    <w:basedOn w:val="Header"/>
    <w:rsid w:val="003B6F29"/>
    <w:pPr>
      <w:pBdr>
        <w:bottom w:val="single" w:sz="6" w:space="1" w:color="auto"/>
      </w:pBdr>
      <w:spacing w:after="600"/>
    </w:pPr>
  </w:style>
  <w:style w:type="paragraph" w:customStyle="1" w:styleId="IndexBase">
    <w:name w:val="Index Base"/>
    <w:basedOn w:val="Normal"/>
    <w:rsid w:val="003B6F29"/>
    <w:pPr>
      <w:spacing w:line="240" w:lineRule="atLeast"/>
      <w:ind w:left="360" w:hanging="360"/>
    </w:pPr>
    <w:rPr>
      <w:sz w:val="18"/>
    </w:rPr>
  </w:style>
  <w:style w:type="paragraph" w:styleId="Index1">
    <w:name w:val="index 1"/>
    <w:basedOn w:val="IndexBase"/>
    <w:autoRedefine/>
    <w:semiHidden/>
    <w:rsid w:val="003B6F29"/>
  </w:style>
  <w:style w:type="paragraph" w:styleId="Index2">
    <w:name w:val="index 2"/>
    <w:basedOn w:val="IndexBase"/>
    <w:autoRedefine/>
    <w:semiHidden/>
    <w:rsid w:val="003B6F29"/>
    <w:pPr>
      <w:spacing w:line="240" w:lineRule="auto"/>
      <w:ind w:left="720"/>
    </w:pPr>
  </w:style>
  <w:style w:type="paragraph" w:styleId="Index3">
    <w:name w:val="index 3"/>
    <w:basedOn w:val="IndexBase"/>
    <w:autoRedefine/>
    <w:semiHidden/>
    <w:rsid w:val="003B6F29"/>
    <w:pPr>
      <w:spacing w:line="240" w:lineRule="auto"/>
      <w:ind w:left="1080"/>
    </w:pPr>
  </w:style>
  <w:style w:type="paragraph" w:styleId="Index4">
    <w:name w:val="index 4"/>
    <w:basedOn w:val="IndexBase"/>
    <w:autoRedefine/>
    <w:semiHidden/>
    <w:rsid w:val="003B6F29"/>
    <w:pPr>
      <w:spacing w:line="240" w:lineRule="auto"/>
      <w:ind w:left="1440"/>
    </w:pPr>
  </w:style>
  <w:style w:type="paragraph" w:styleId="Index5">
    <w:name w:val="index 5"/>
    <w:basedOn w:val="IndexBase"/>
    <w:autoRedefine/>
    <w:semiHidden/>
    <w:rsid w:val="003B6F29"/>
    <w:pPr>
      <w:spacing w:line="240" w:lineRule="auto"/>
      <w:ind w:left="1800"/>
    </w:pPr>
  </w:style>
  <w:style w:type="paragraph" w:styleId="IndexHeading">
    <w:name w:val="index heading"/>
    <w:basedOn w:val="HeadingBase"/>
    <w:next w:val="Index1"/>
    <w:semiHidden/>
    <w:rsid w:val="003B6F29"/>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3B6F29"/>
    <w:rPr>
      <w:rFonts w:ascii="Arial Black" w:hAnsi="Arial Black"/>
      <w:spacing w:val="-4"/>
      <w:sz w:val="18"/>
    </w:rPr>
  </w:style>
  <w:style w:type="character" w:styleId="LineNumber">
    <w:name w:val="line number"/>
    <w:semiHidden/>
    <w:rsid w:val="003B6F29"/>
    <w:rPr>
      <w:sz w:val="18"/>
    </w:rPr>
  </w:style>
  <w:style w:type="paragraph" w:styleId="List">
    <w:name w:val="List"/>
    <w:basedOn w:val="BodyText"/>
    <w:semiHidden/>
    <w:rsid w:val="003B6F29"/>
    <w:pPr>
      <w:ind w:left="1440" w:hanging="360"/>
    </w:pPr>
  </w:style>
  <w:style w:type="paragraph" w:styleId="List2">
    <w:name w:val="List 2"/>
    <w:basedOn w:val="List"/>
    <w:semiHidden/>
    <w:rsid w:val="003B6F29"/>
    <w:pPr>
      <w:ind w:left="1800"/>
    </w:pPr>
  </w:style>
  <w:style w:type="paragraph" w:styleId="List3">
    <w:name w:val="List 3"/>
    <w:basedOn w:val="List"/>
    <w:semiHidden/>
    <w:rsid w:val="003B6F29"/>
    <w:pPr>
      <w:ind w:left="2160"/>
    </w:pPr>
  </w:style>
  <w:style w:type="paragraph" w:styleId="List4">
    <w:name w:val="List 4"/>
    <w:basedOn w:val="List"/>
    <w:semiHidden/>
    <w:rsid w:val="003B6F29"/>
    <w:pPr>
      <w:ind w:left="2520"/>
    </w:pPr>
  </w:style>
  <w:style w:type="paragraph" w:styleId="List5">
    <w:name w:val="List 5"/>
    <w:basedOn w:val="List"/>
    <w:semiHidden/>
    <w:rsid w:val="003B6F29"/>
    <w:pPr>
      <w:ind w:left="2880"/>
    </w:pPr>
  </w:style>
  <w:style w:type="paragraph" w:styleId="ListBullet">
    <w:name w:val="List Bullet"/>
    <w:basedOn w:val="List"/>
    <w:semiHidden/>
    <w:rsid w:val="003B6F29"/>
    <w:pPr>
      <w:numPr>
        <w:numId w:val="12"/>
      </w:numPr>
      <w:tabs>
        <w:tab w:val="clear" w:pos="1440"/>
      </w:tabs>
    </w:pPr>
  </w:style>
  <w:style w:type="paragraph" w:styleId="ListBullet2">
    <w:name w:val="List Bullet 2"/>
    <w:basedOn w:val="ListBullet"/>
    <w:autoRedefine/>
    <w:semiHidden/>
    <w:rsid w:val="003B6F29"/>
    <w:pPr>
      <w:ind w:left="1800"/>
    </w:pPr>
  </w:style>
  <w:style w:type="paragraph" w:styleId="ListBullet3">
    <w:name w:val="List Bullet 3"/>
    <w:basedOn w:val="ListBullet"/>
    <w:autoRedefine/>
    <w:semiHidden/>
    <w:rsid w:val="003B6F29"/>
    <w:pPr>
      <w:ind w:left="2160"/>
    </w:pPr>
  </w:style>
  <w:style w:type="paragraph" w:styleId="ListBullet4">
    <w:name w:val="List Bullet 4"/>
    <w:basedOn w:val="ListBullet"/>
    <w:autoRedefine/>
    <w:semiHidden/>
    <w:rsid w:val="003B6F29"/>
    <w:pPr>
      <w:ind w:left="2520"/>
    </w:pPr>
  </w:style>
  <w:style w:type="paragraph" w:styleId="ListBullet5">
    <w:name w:val="List Bullet 5"/>
    <w:basedOn w:val="ListBullet"/>
    <w:autoRedefine/>
    <w:semiHidden/>
    <w:rsid w:val="003B6F29"/>
    <w:pPr>
      <w:ind w:left="2880"/>
    </w:pPr>
  </w:style>
  <w:style w:type="paragraph" w:styleId="ListContinue">
    <w:name w:val="List Continue"/>
    <w:basedOn w:val="List"/>
    <w:semiHidden/>
    <w:rsid w:val="003B6F29"/>
    <w:pPr>
      <w:ind w:firstLine="0"/>
    </w:pPr>
  </w:style>
  <w:style w:type="paragraph" w:styleId="ListContinue2">
    <w:name w:val="List Continue 2"/>
    <w:basedOn w:val="ListContinue"/>
    <w:semiHidden/>
    <w:rsid w:val="003B6F29"/>
    <w:pPr>
      <w:ind w:left="2160"/>
    </w:pPr>
  </w:style>
  <w:style w:type="paragraph" w:styleId="ListContinue3">
    <w:name w:val="List Continue 3"/>
    <w:basedOn w:val="ListContinue"/>
    <w:semiHidden/>
    <w:rsid w:val="003B6F29"/>
    <w:pPr>
      <w:ind w:left="2520"/>
    </w:pPr>
  </w:style>
  <w:style w:type="paragraph" w:styleId="ListContinue4">
    <w:name w:val="List Continue 4"/>
    <w:basedOn w:val="ListContinue"/>
    <w:semiHidden/>
    <w:rsid w:val="003B6F29"/>
    <w:pPr>
      <w:ind w:left="2880"/>
    </w:pPr>
  </w:style>
  <w:style w:type="paragraph" w:styleId="ListContinue5">
    <w:name w:val="List Continue 5"/>
    <w:basedOn w:val="ListContinue"/>
    <w:semiHidden/>
    <w:rsid w:val="003B6F29"/>
    <w:pPr>
      <w:ind w:left="3240"/>
    </w:pPr>
  </w:style>
  <w:style w:type="paragraph" w:styleId="ListNumber">
    <w:name w:val="List Number"/>
    <w:basedOn w:val="List"/>
    <w:semiHidden/>
    <w:rsid w:val="003B6F29"/>
    <w:pPr>
      <w:numPr>
        <w:numId w:val="23"/>
      </w:numPr>
    </w:pPr>
  </w:style>
  <w:style w:type="paragraph" w:styleId="ListNumber2">
    <w:name w:val="List Number 2"/>
    <w:basedOn w:val="ListNumber"/>
    <w:semiHidden/>
    <w:rsid w:val="003B6F29"/>
    <w:pPr>
      <w:ind w:left="1800"/>
    </w:pPr>
  </w:style>
  <w:style w:type="paragraph" w:styleId="ListNumber3">
    <w:name w:val="List Number 3"/>
    <w:basedOn w:val="ListNumber"/>
    <w:semiHidden/>
    <w:rsid w:val="003B6F29"/>
    <w:pPr>
      <w:ind w:left="2160"/>
    </w:pPr>
  </w:style>
  <w:style w:type="paragraph" w:styleId="ListNumber4">
    <w:name w:val="List Number 4"/>
    <w:basedOn w:val="ListNumber"/>
    <w:semiHidden/>
    <w:rsid w:val="003B6F29"/>
    <w:pPr>
      <w:ind w:left="2520"/>
    </w:pPr>
  </w:style>
  <w:style w:type="paragraph" w:styleId="ListNumber5">
    <w:name w:val="List Number 5"/>
    <w:basedOn w:val="ListNumber"/>
    <w:semiHidden/>
    <w:rsid w:val="003B6F29"/>
    <w:pPr>
      <w:ind w:left="2880"/>
    </w:pPr>
  </w:style>
  <w:style w:type="paragraph" w:customStyle="1" w:styleId="TableHeader">
    <w:name w:val="Table Header"/>
    <w:basedOn w:val="Normal"/>
    <w:rsid w:val="003B6F29"/>
    <w:pPr>
      <w:spacing w:before="60"/>
      <w:ind w:left="0"/>
      <w:jc w:val="center"/>
    </w:pPr>
    <w:rPr>
      <w:rFonts w:ascii="Arial Black" w:hAnsi="Arial Black"/>
      <w:sz w:val="16"/>
    </w:rPr>
  </w:style>
  <w:style w:type="paragraph" w:styleId="MessageHeader">
    <w:name w:val="Message Header"/>
    <w:basedOn w:val="BodyText"/>
    <w:semiHidden/>
    <w:rsid w:val="003B6F29"/>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semiHidden/>
    <w:rsid w:val="003B6F29"/>
    <w:pPr>
      <w:ind w:left="1440"/>
    </w:pPr>
  </w:style>
  <w:style w:type="character" w:styleId="PageNumber">
    <w:name w:val="page number"/>
    <w:semiHidden/>
    <w:rsid w:val="003B6F29"/>
    <w:rPr>
      <w:rFonts w:ascii="Arial Black" w:hAnsi="Arial Black"/>
      <w:spacing w:val="-10"/>
      <w:sz w:val="18"/>
    </w:rPr>
  </w:style>
  <w:style w:type="paragraph" w:customStyle="1" w:styleId="PartSubtitle">
    <w:name w:val="Part Subtitle"/>
    <w:basedOn w:val="Normal"/>
    <w:next w:val="BodyText"/>
    <w:rsid w:val="003B6F29"/>
    <w:pPr>
      <w:keepNext/>
      <w:spacing w:before="360" w:after="120"/>
    </w:pPr>
    <w:rPr>
      <w:i/>
      <w:kern w:val="28"/>
      <w:sz w:val="26"/>
    </w:rPr>
  </w:style>
  <w:style w:type="paragraph" w:customStyle="1" w:styleId="ReturnAddress">
    <w:name w:val="Return Address"/>
    <w:basedOn w:val="Normal"/>
    <w:rsid w:val="003B6F29"/>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3B6F29"/>
  </w:style>
  <w:style w:type="paragraph" w:customStyle="1" w:styleId="SectionLabel">
    <w:name w:val="Section Label"/>
    <w:basedOn w:val="HeadingBase"/>
    <w:next w:val="BodyText"/>
    <w:rsid w:val="003B6F29"/>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3B6F29"/>
    <w:rPr>
      <w:i/>
      <w:spacing w:val="-6"/>
      <w:sz w:val="24"/>
    </w:rPr>
  </w:style>
  <w:style w:type="paragraph" w:customStyle="1" w:styleId="SubtitleCover">
    <w:name w:val="Subtitle Cover"/>
    <w:basedOn w:val="TitleCover"/>
    <w:next w:val="BodyText"/>
    <w:rsid w:val="003B6F29"/>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3B6F29"/>
    <w:rPr>
      <w:b/>
      <w:vertAlign w:val="superscript"/>
    </w:rPr>
  </w:style>
  <w:style w:type="paragraph" w:styleId="TableofAuthorities">
    <w:name w:val="table of authorities"/>
    <w:basedOn w:val="Normal"/>
    <w:semiHidden/>
    <w:rsid w:val="003B6F29"/>
    <w:pPr>
      <w:tabs>
        <w:tab w:val="right" w:leader="dot" w:pos="7560"/>
      </w:tabs>
      <w:ind w:left="1440" w:hanging="360"/>
    </w:pPr>
  </w:style>
  <w:style w:type="paragraph" w:customStyle="1" w:styleId="TOCBase">
    <w:name w:val="TOC Base"/>
    <w:basedOn w:val="Normal"/>
    <w:rsid w:val="003B6F29"/>
    <w:pPr>
      <w:tabs>
        <w:tab w:val="right" w:leader="dot" w:pos="6480"/>
      </w:tabs>
      <w:spacing w:after="240" w:line="240" w:lineRule="atLeast"/>
      <w:ind w:left="0"/>
    </w:pPr>
  </w:style>
  <w:style w:type="paragraph" w:styleId="TableofFigures">
    <w:name w:val="table of figures"/>
    <w:basedOn w:val="TOCBase"/>
    <w:semiHidden/>
    <w:rsid w:val="003B6F29"/>
    <w:pPr>
      <w:ind w:left="1440" w:hanging="360"/>
    </w:pPr>
  </w:style>
  <w:style w:type="paragraph" w:styleId="TOAHeading">
    <w:name w:val="toa heading"/>
    <w:basedOn w:val="Normal"/>
    <w:next w:val="TableofAuthorities"/>
    <w:semiHidden/>
    <w:rsid w:val="003B6F29"/>
    <w:pPr>
      <w:keepNext/>
      <w:spacing w:line="480" w:lineRule="atLeast"/>
    </w:pPr>
    <w:rPr>
      <w:rFonts w:ascii="Arial Black" w:hAnsi="Arial Black"/>
      <w:b/>
      <w:spacing w:val="-10"/>
      <w:kern w:val="28"/>
    </w:rPr>
  </w:style>
  <w:style w:type="paragraph" w:styleId="TOC1">
    <w:name w:val="toc 1"/>
    <w:basedOn w:val="TOCBase"/>
    <w:autoRedefine/>
    <w:semiHidden/>
    <w:rsid w:val="003B6F29"/>
    <w:rPr>
      <w:spacing w:val="-4"/>
    </w:rPr>
  </w:style>
  <w:style w:type="paragraph" w:styleId="TOC2">
    <w:name w:val="toc 2"/>
    <w:basedOn w:val="TOCBase"/>
    <w:autoRedefine/>
    <w:semiHidden/>
    <w:rsid w:val="003B6F29"/>
    <w:pPr>
      <w:ind w:left="360"/>
    </w:pPr>
  </w:style>
  <w:style w:type="paragraph" w:styleId="TOC3">
    <w:name w:val="toc 3"/>
    <w:basedOn w:val="TOCBase"/>
    <w:autoRedefine/>
    <w:semiHidden/>
    <w:rsid w:val="003B6F29"/>
    <w:pPr>
      <w:ind w:left="360"/>
    </w:pPr>
  </w:style>
  <w:style w:type="paragraph" w:styleId="TOC4">
    <w:name w:val="toc 4"/>
    <w:basedOn w:val="TOCBase"/>
    <w:autoRedefine/>
    <w:semiHidden/>
    <w:rsid w:val="003B6F29"/>
    <w:pPr>
      <w:ind w:left="360"/>
    </w:pPr>
  </w:style>
  <w:style w:type="paragraph" w:styleId="TOC5">
    <w:name w:val="toc 5"/>
    <w:basedOn w:val="TOCBase"/>
    <w:autoRedefine/>
    <w:semiHidden/>
    <w:rsid w:val="003B6F29"/>
    <w:pPr>
      <w:ind w:left="360"/>
    </w:pPr>
  </w:style>
  <w:style w:type="paragraph" w:styleId="BalloonText">
    <w:name w:val="Balloon Text"/>
    <w:basedOn w:val="Normal"/>
    <w:link w:val="BalloonTextChar"/>
    <w:uiPriority w:val="99"/>
    <w:semiHidden/>
    <w:unhideWhenUsed/>
    <w:rsid w:val="000E1CB3"/>
    <w:rPr>
      <w:rFonts w:ascii="Tahoma" w:hAnsi="Tahoma" w:cs="Tahoma"/>
      <w:sz w:val="16"/>
      <w:szCs w:val="16"/>
    </w:rPr>
  </w:style>
  <w:style w:type="character" w:customStyle="1" w:styleId="BalloonTextChar">
    <w:name w:val="Balloon Text Char"/>
    <w:basedOn w:val="DefaultParagraphFont"/>
    <w:link w:val="BalloonText"/>
    <w:uiPriority w:val="99"/>
    <w:semiHidden/>
    <w:rsid w:val="000E1CB3"/>
    <w:rPr>
      <w:rFonts w:ascii="Tahoma" w:hAnsi="Tahoma" w:cs="Tahoma"/>
      <w:spacing w:val="-5"/>
      <w:sz w:val="16"/>
      <w:szCs w:val="16"/>
    </w:rPr>
  </w:style>
  <w:style w:type="table" w:styleId="TableGrid">
    <w:name w:val="Table Grid"/>
    <w:basedOn w:val="TableNormal"/>
    <w:uiPriority w:val="59"/>
    <w:rsid w:val="00674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85D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Professio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A11A-BEB3-491B-834B-125B1963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Report.dot</Template>
  <TotalTime>24</TotalTime>
  <Pages>5</Pages>
  <Words>1017</Words>
  <Characters>5801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Report</vt:lpstr>
      <vt:lpstr>Consumable Supplies Required</vt:lpstr>
      <vt:lpstr>Equipment Required</vt:lpstr>
    </vt:vector>
  </TitlesOfParts>
  <Company>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Cue User</dc:creator>
  <cp:keywords/>
  <cp:lastModifiedBy>marcy</cp:lastModifiedBy>
  <cp:revision>7</cp:revision>
  <cp:lastPrinted>2010-01-27T14:55:00Z</cp:lastPrinted>
  <dcterms:created xsi:type="dcterms:W3CDTF">2010-01-20T19:39:00Z</dcterms:created>
  <dcterms:modified xsi:type="dcterms:W3CDTF">2010-01-27T14:56:00Z</dcterms:modified>
</cp:coreProperties>
</file>